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C4B0" w14:textId="77777777" w:rsidR="00D43D9C" w:rsidRDefault="00D43D9C" w:rsidP="00D43D9C">
      <w:pPr>
        <w:rPr>
          <w:b/>
        </w:rPr>
      </w:pPr>
      <w:bookmarkStart w:id="0" w:name="_GoBack"/>
      <w:bookmarkEnd w:id="0"/>
    </w:p>
    <w:p w14:paraId="3A2B2631" w14:textId="77777777" w:rsidR="00382C52" w:rsidRPr="00A2532C" w:rsidRDefault="00382C52" w:rsidP="00382C52">
      <w:pPr>
        <w:ind w:firstLine="720"/>
        <w:jc w:val="center"/>
        <w:rPr>
          <w:rFonts w:eastAsia="Times New Roman"/>
          <w:b/>
        </w:rPr>
      </w:pPr>
      <w:r w:rsidRPr="00A2532C">
        <w:rPr>
          <w:b/>
        </w:rPr>
        <w:t>USW 30: Tangible Things: Harvard Collections in World History</w:t>
      </w:r>
    </w:p>
    <w:p w14:paraId="51EF4567" w14:textId="5A8E2386" w:rsidR="00382C52" w:rsidRPr="00A2532C" w:rsidRDefault="00100AC3" w:rsidP="00382C52">
      <w:pPr>
        <w:pStyle w:val="Heading1"/>
        <w:jc w:val="center"/>
        <w:rPr>
          <w:rFonts w:asciiTheme="minorHAnsi" w:eastAsia="Times New Roman" w:hAnsiTheme="minorHAnsi"/>
          <w:b w:val="0"/>
          <w:szCs w:val="24"/>
        </w:rPr>
      </w:pPr>
      <w:r w:rsidRPr="00A2532C">
        <w:rPr>
          <w:rFonts w:asciiTheme="minorHAnsi" w:eastAsia="Times New Roman" w:hAnsiTheme="minorHAnsi"/>
          <w:b w:val="0"/>
          <w:color w:val="000000"/>
          <w:szCs w:val="24"/>
        </w:rPr>
        <w:t xml:space="preserve">MW </w:t>
      </w:r>
      <w:r w:rsidR="00382C52" w:rsidRPr="00A2532C">
        <w:rPr>
          <w:rFonts w:asciiTheme="minorHAnsi" w:eastAsia="Times New Roman" w:hAnsiTheme="minorHAnsi"/>
          <w:b w:val="0"/>
          <w:color w:val="000000"/>
          <w:szCs w:val="24"/>
        </w:rPr>
        <w:t xml:space="preserve">at </w:t>
      </w:r>
      <w:r w:rsidR="00382C52" w:rsidRPr="00A2532C">
        <w:rPr>
          <w:rFonts w:asciiTheme="minorHAnsi" w:eastAsia="Times New Roman" w:hAnsiTheme="minorHAnsi"/>
          <w:b w:val="0"/>
          <w:szCs w:val="24"/>
        </w:rPr>
        <w:t>1</w:t>
      </w:r>
      <w:r w:rsidRPr="00A2532C">
        <w:rPr>
          <w:rFonts w:asciiTheme="minorHAnsi" w:eastAsia="Times New Roman" w:hAnsiTheme="minorHAnsi"/>
          <w:b w:val="0"/>
          <w:szCs w:val="24"/>
        </w:rPr>
        <w:t>1</w:t>
      </w:r>
      <w:r w:rsidR="00382C52" w:rsidRPr="00A2532C">
        <w:rPr>
          <w:rFonts w:asciiTheme="minorHAnsi" w:eastAsia="Times New Roman" w:hAnsiTheme="minorHAnsi"/>
          <w:b w:val="0"/>
          <w:szCs w:val="24"/>
        </w:rPr>
        <w:t>, and a weekly section to be arranged</w:t>
      </w:r>
    </w:p>
    <w:p w14:paraId="2A5FB675" w14:textId="77777777" w:rsidR="005A59E3" w:rsidRPr="00A2532C" w:rsidRDefault="005A59E3" w:rsidP="00382C52">
      <w:pPr>
        <w:jc w:val="center"/>
      </w:pPr>
    </w:p>
    <w:p w14:paraId="128CED10" w14:textId="77777777" w:rsidR="005A59E3" w:rsidRPr="00A2532C" w:rsidRDefault="005A59E3" w:rsidP="00382C52">
      <w:pPr>
        <w:jc w:val="center"/>
        <w:rPr>
          <w:b/>
        </w:rPr>
      </w:pPr>
      <w:r w:rsidRPr="00A2532C">
        <w:rPr>
          <w:b/>
        </w:rPr>
        <w:t>Course Heads</w:t>
      </w:r>
    </w:p>
    <w:p w14:paraId="1B79A3CE" w14:textId="436F44B9" w:rsidR="00382C52" w:rsidRPr="00A2532C" w:rsidRDefault="004425D5" w:rsidP="00382C52">
      <w:pPr>
        <w:jc w:val="center"/>
      </w:pPr>
      <w:r w:rsidRPr="00A2532C">
        <w:t xml:space="preserve">Laurel Thatcher Ulrich  </w:t>
      </w:r>
      <w:hyperlink r:id="rId7" w:history="1">
        <w:r w:rsidRPr="00A2532C">
          <w:rPr>
            <w:rStyle w:val="Hyperlink"/>
          </w:rPr>
          <w:t>ulrich@fas.harvard.edu</w:t>
        </w:r>
      </w:hyperlink>
      <w:r w:rsidRPr="00A2532C">
        <w:t xml:space="preserve"> </w:t>
      </w:r>
    </w:p>
    <w:p w14:paraId="0CDF229B" w14:textId="2588A520" w:rsidR="005A59E3" w:rsidRPr="00A2532C" w:rsidRDefault="00382C52" w:rsidP="004425D5">
      <w:pPr>
        <w:jc w:val="center"/>
      </w:pPr>
      <w:r w:rsidRPr="00A2532C">
        <w:t>Sara Schechner</w:t>
      </w:r>
      <w:r w:rsidR="004425D5" w:rsidRPr="00A2532C">
        <w:t xml:space="preserve"> </w:t>
      </w:r>
      <w:hyperlink r:id="rId8" w:history="1">
        <w:r w:rsidR="005A59E3" w:rsidRPr="00A2532C">
          <w:rPr>
            <w:rStyle w:val="Hyperlink"/>
          </w:rPr>
          <w:t>schechn@fas.harvard.edu</w:t>
        </w:r>
      </w:hyperlink>
    </w:p>
    <w:p w14:paraId="6F78C3F0" w14:textId="77777777" w:rsidR="00382C52" w:rsidRPr="00A2532C" w:rsidRDefault="00382C52" w:rsidP="00382C52">
      <w:pPr>
        <w:jc w:val="center"/>
      </w:pPr>
    </w:p>
    <w:p w14:paraId="685B0679" w14:textId="19F5B76E" w:rsidR="00382C52" w:rsidRPr="00A2532C" w:rsidRDefault="00382C52" w:rsidP="00382C52">
      <w:pPr>
        <w:jc w:val="center"/>
        <w:rPr>
          <w:b/>
        </w:rPr>
      </w:pPr>
      <w:r w:rsidRPr="00A2532C">
        <w:rPr>
          <w:b/>
        </w:rPr>
        <w:t>Head Teaching Fellow</w:t>
      </w:r>
    </w:p>
    <w:p w14:paraId="1CF618EE" w14:textId="009FD662" w:rsidR="005A59E3" w:rsidRPr="00A2532C" w:rsidRDefault="004425D5" w:rsidP="00382C52">
      <w:pPr>
        <w:jc w:val="center"/>
      </w:pPr>
      <w:r w:rsidRPr="00A2532C">
        <w:t>Peter Pelliz</w:t>
      </w:r>
      <w:r w:rsidR="00685FA0">
        <w:t>z</w:t>
      </w:r>
      <w:r w:rsidRPr="00A2532C">
        <w:t>ari</w:t>
      </w:r>
      <w:r w:rsidR="005A59E3" w:rsidRPr="00A2532C">
        <w:t xml:space="preserve"> </w:t>
      </w:r>
      <w:hyperlink r:id="rId9" w:history="1">
        <w:r w:rsidR="00685FA0" w:rsidRPr="00F01DAF">
          <w:rPr>
            <w:rStyle w:val="Hyperlink"/>
          </w:rPr>
          <w:t>pellizzari@g.harvard.edu</w:t>
        </w:r>
      </w:hyperlink>
    </w:p>
    <w:p w14:paraId="30C0A9DD" w14:textId="77777777" w:rsidR="004425D5" w:rsidRPr="00A2532C" w:rsidRDefault="004425D5" w:rsidP="00382C52">
      <w:pPr>
        <w:jc w:val="center"/>
      </w:pPr>
    </w:p>
    <w:p w14:paraId="6A413F13" w14:textId="637B6CD7" w:rsidR="004425D5" w:rsidRPr="00A2532C" w:rsidRDefault="004425D5" w:rsidP="00382C52">
      <w:pPr>
        <w:jc w:val="center"/>
        <w:rPr>
          <w:b/>
        </w:rPr>
      </w:pPr>
      <w:r w:rsidRPr="00A2532C">
        <w:rPr>
          <w:b/>
        </w:rPr>
        <w:t>Teaching Fellows</w:t>
      </w:r>
    </w:p>
    <w:p w14:paraId="641DBA28" w14:textId="6CE66633" w:rsidR="004425D5" w:rsidRPr="00A2532C" w:rsidRDefault="004425D5" w:rsidP="00382C52">
      <w:pPr>
        <w:jc w:val="center"/>
      </w:pPr>
      <w:r w:rsidRPr="00A2532C">
        <w:t>Samantha Payne</w:t>
      </w:r>
      <w:r w:rsidR="005A59E3" w:rsidRPr="00A2532C">
        <w:t xml:space="preserve"> </w:t>
      </w:r>
      <w:hyperlink r:id="rId10" w:history="1">
        <w:r w:rsidR="005A59E3" w:rsidRPr="00A2532C">
          <w:rPr>
            <w:rStyle w:val="Hyperlink"/>
          </w:rPr>
          <w:t>spayne@g.harvard.edu</w:t>
        </w:r>
      </w:hyperlink>
    </w:p>
    <w:p w14:paraId="45C6D7DF" w14:textId="082A3720" w:rsidR="00D9608A" w:rsidRPr="00D9608A" w:rsidRDefault="004425D5" w:rsidP="00D9608A">
      <w:pPr>
        <w:jc w:val="center"/>
        <w:rPr>
          <w:color w:val="0000FF"/>
          <w:u w:val="single"/>
        </w:rPr>
      </w:pPr>
      <w:r w:rsidRPr="00A2532C">
        <w:t>Shireen</w:t>
      </w:r>
      <w:r w:rsidR="00C44135" w:rsidRPr="00A2532C">
        <w:t xml:space="preserve"> </w:t>
      </w:r>
      <w:r w:rsidR="005A59E3" w:rsidRPr="00A2532C">
        <w:t xml:space="preserve">Hamza </w:t>
      </w:r>
      <w:hyperlink r:id="rId11" w:history="1">
        <w:r w:rsidR="005A59E3" w:rsidRPr="00A2532C">
          <w:rPr>
            <w:rStyle w:val="Hyperlink"/>
          </w:rPr>
          <w:t>shireenhamza@g.harvard.edu</w:t>
        </w:r>
      </w:hyperlink>
    </w:p>
    <w:p w14:paraId="14217756" w14:textId="067B8270" w:rsidR="005A59E3" w:rsidRPr="00A2532C" w:rsidRDefault="00D9608A" w:rsidP="00382C52">
      <w:pPr>
        <w:jc w:val="center"/>
      </w:pPr>
      <w:r>
        <w:t xml:space="preserve">Whitney Robles </w:t>
      </w:r>
      <w:hyperlink r:id="rId12" w:history="1">
        <w:r w:rsidRPr="00D9608A">
          <w:rPr>
            <w:rStyle w:val="Hyperlink"/>
          </w:rPr>
          <w:t>wrobles@g.harvard.edu</w:t>
        </w:r>
      </w:hyperlink>
    </w:p>
    <w:p w14:paraId="083264F9" w14:textId="77777777" w:rsidR="00790F04" w:rsidRPr="00A2532C" w:rsidRDefault="00790F04" w:rsidP="00790F04"/>
    <w:p w14:paraId="3144F78C" w14:textId="0E0DD3F4" w:rsidR="00790F04" w:rsidRPr="00A2532C" w:rsidRDefault="00790F04" w:rsidP="00382C52">
      <w:pPr>
        <w:rPr>
          <w:b/>
        </w:rPr>
      </w:pPr>
      <w:r w:rsidRPr="00A2532C">
        <w:rPr>
          <w:b/>
        </w:rPr>
        <w:t>What this course is about:</w:t>
      </w:r>
      <w:r w:rsidR="008043E0" w:rsidRPr="00A2532C">
        <w:tab/>
      </w:r>
    </w:p>
    <w:p w14:paraId="1D8FF706" w14:textId="26802998" w:rsidR="000A7DFC" w:rsidRPr="00A2532C" w:rsidRDefault="008043E0" w:rsidP="000A7DFC">
      <w:r w:rsidRPr="00A2532C">
        <w:tab/>
      </w:r>
      <w:r w:rsidR="00790F04" w:rsidRPr="00A2532C">
        <w:t>Over four centuries, Harvard has amassed an astonishing array of</w:t>
      </w:r>
      <w:r w:rsidRPr="00A2532C">
        <w:t xml:space="preserve"> tangible things</w:t>
      </w:r>
      <w:r w:rsidR="00790F04" w:rsidRPr="00A2532C">
        <w:t>—not just rare books and manuscripts, but Babylonian roof tiles</w:t>
      </w:r>
      <w:r w:rsidR="00E90405" w:rsidRPr="00A2532C">
        <w:t>, Roman glass,</w:t>
      </w:r>
      <w:r w:rsidR="004425D5" w:rsidRPr="00A2532C">
        <w:t xml:space="preserve"> </w:t>
      </w:r>
      <w:r w:rsidR="00790F04" w:rsidRPr="00A2532C">
        <w:t xml:space="preserve">and the molars of giant pandas. </w:t>
      </w:r>
      <w:r w:rsidR="00E90405" w:rsidRPr="00A2532C">
        <w:t xml:space="preserve"> </w:t>
      </w:r>
      <w:r w:rsidR="00790F04" w:rsidRPr="00A2532C">
        <w:t>This course explains how and why such things arrived in Cambridge and what happened to them when they got here</w:t>
      </w:r>
      <w:r w:rsidRPr="00A2532C">
        <w:t xml:space="preserve">. </w:t>
      </w:r>
      <w:r w:rsidR="004425D5" w:rsidRPr="00A2532C">
        <w:t xml:space="preserve">It demonstrates the many ways people </w:t>
      </w:r>
      <w:r w:rsidR="00207F16" w:rsidRPr="00A2532C">
        <w:t xml:space="preserve">make history </w:t>
      </w:r>
      <w:r w:rsidR="00425AA0" w:rsidRPr="00A2532C">
        <w:t xml:space="preserve">through the things they collect, exchange, </w:t>
      </w:r>
      <w:r w:rsidR="00572AEC" w:rsidRPr="00A2532C">
        <w:t>reflect upon, o</w:t>
      </w:r>
      <w:r w:rsidR="00425AA0" w:rsidRPr="00A2532C">
        <w:t xml:space="preserve">r ignore. </w:t>
      </w:r>
      <w:r w:rsidR="00E90405" w:rsidRPr="00A2532C">
        <w:t xml:space="preserve">The course transcends </w:t>
      </w:r>
      <w:r w:rsidR="004425D5" w:rsidRPr="00A2532C">
        <w:t xml:space="preserve">divisions </w:t>
      </w:r>
      <w:r w:rsidR="000A7DFC" w:rsidRPr="00A2532C">
        <w:t>between the arts, the humanities, and the sciences</w:t>
      </w:r>
      <w:r w:rsidR="00E90405" w:rsidRPr="00A2532C">
        <w:t>, offers</w:t>
      </w:r>
      <w:r w:rsidR="000A7DFC" w:rsidRPr="00A2532C">
        <w:t xml:space="preserve"> </w:t>
      </w:r>
      <w:r w:rsidR="00E90405" w:rsidRPr="00A2532C">
        <w:t xml:space="preserve">close-up encounters with objects of many sorts, and features </w:t>
      </w:r>
      <w:r w:rsidR="004425D5" w:rsidRPr="00A2532C">
        <w:t>behind-the-scenes visits to Harvard’s varied museums</w:t>
      </w:r>
      <w:r w:rsidR="00E90405" w:rsidRPr="00A2532C">
        <w:t xml:space="preserve">.  It may also alter the way you interact </w:t>
      </w:r>
      <w:r w:rsidR="004425D5" w:rsidRPr="00A2532C">
        <w:t xml:space="preserve">with common-place objects around you. </w:t>
      </w:r>
    </w:p>
    <w:p w14:paraId="0C66D740" w14:textId="77777777" w:rsidR="00327A9F" w:rsidRPr="00A2532C" w:rsidRDefault="00327A9F" w:rsidP="000A7DFC"/>
    <w:p w14:paraId="605C78FB" w14:textId="475F0C58" w:rsidR="00327A9F" w:rsidRPr="00A2532C" w:rsidRDefault="00327A9F" w:rsidP="000A7DFC">
      <w:pPr>
        <w:rPr>
          <w:b/>
        </w:rPr>
      </w:pPr>
      <w:r w:rsidRPr="00A2532C">
        <w:rPr>
          <w:b/>
        </w:rPr>
        <w:t>Required Books:</w:t>
      </w:r>
    </w:p>
    <w:p w14:paraId="24696775" w14:textId="6C25455C" w:rsidR="00327A9F" w:rsidRPr="00A2532C" w:rsidRDefault="008B6274" w:rsidP="000A7DFC">
      <w:r w:rsidRPr="00A2532C">
        <w:t xml:space="preserve">1. </w:t>
      </w:r>
      <w:r w:rsidR="00327A9F" w:rsidRPr="00A2532C">
        <w:t xml:space="preserve">Ulrich, Gaskell, Schechner, and Carter, </w:t>
      </w:r>
      <w:r w:rsidRPr="00A2532C">
        <w:rPr>
          <w:i/>
        </w:rPr>
        <w:t xml:space="preserve">Tangible Things: Making History Through Objects. </w:t>
      </w:r>
      <w:r w:rsidRPr="00A2532C">
        <w:t>Oxford University Press, 2015</w:t>
      </w:r>
    </w:p>
    <w:p w14:paraId="6CE2DCCB" w14:textId="1DFDFAEB" w:rsidR="008B6274" w:rsidRPr="00A2532C" w:rsidRDefault="008B6274" w:rsidP="000A7DFC">
      <w:r w:rsidRPr="00A2532C">
        <w:t xml:space="preserve">2. Steven Conn, </w:t>
      </w:r>
      <w:r w:rsidRPr="00A2532C">
        <w:rPr>
          <w:i/>
        </w:rPr>
        <w:t>Museums and American Intellectual Life, 1870-1920</w:t>
      </w:r>
      <w:r w:rsidRPr="00A2532C">
        <w:t>. University of Chicago Press, 1998.</w:t>
      </w:r>
    </w:p>
    <w:p w14:paraId="42F0767A" w14:textId="5CA934E7" w:rsidR="008B6274" w:rsidRPr="00A2532C" w:rsidRDefault="00347C8E" w:rsidP="000A7DFC">
      <w:r w:rsidRPr="00A2532C">
        <w:t>3</w:t>
      </w:r>
      <w:r w:rsidR="008B6274" w:rsidRPr="00A2532C">
        <w:t xml:space="preserve">. Ulrich, ed. </w:t>
      </w:r>
      <w:r w:rsidR="008B6274" w:rsidRPr="00A2532C">
        <w:rPr>
          <w:i/>
        </w:rPr>
        <w:t xml:space="preserve">Yards and Gates: Gender in Harvard and Radcliffe History. </w:t>
      </w:r>
      <w:r w:rsidR="008B6274" w:rsidRPr="00A2532C">
        <w:t>Palgrave, 2004.  (limited copies of the print edition of this book are available through Amazon and other on-line sources, but the full text is free on-line through Dash.)</w:t>
      </w:r>
    </w:p>
    <w:p w14:paraId="78261740" w14:textId="77777777" w:rsidR="008B6274" w:rsidRPr="00A2532C" w:rsidRDefault="008B6274" w:rsidP="000A7DFC"/>
    <w:p w14:paraId="298CF6C8" w14:textId="77777777" w:rsidR="004E526E" w:rsidRPr="00A2532C" w:rsidRDefault="004E526E" w:rsidP="00DC7220">
      <w:pPr>
        <w:rPr>
          <w:b/>
        </w:rPr>
      </w:pPr>
      <w:r w:rsidRPr="00A2532C">
        <w:rPr>
          <w:b/>
        </w:rPr>
        <w:t xml:space="preserve">Additional short readings have been linked to </w:t>
      </w:r>
      <w:r w:rsidR="008B6274" w:rsidRPr="00A2532C">
        <w:rPr>
          <w:b/>
        </w:rPr>
        <w:t>the course website.</w:t>
      </w:r>
      <w:r w:rsidR="00DC7220" w:rsidRPr="00A2532C">
        <w:rPr>
          <w:b/>
        </w:rPr>
        <w:t xml:space="preserve">  </w:t>
      </w:r>
    </w:p>
    <w:p w14:paraId="0F64B27A" w14:textId="77777777" w:rsidR="004E526E" w:rsidRPr="00A2532C" w:rsidRDefault="004E526E" w:rsidP="00DC7220">
      <w:pPr>
        <w:rPr>
          <w:b/>
        </w:rPr>
      </w:pPr>
    </w:p>
    <w:p w14:paraId="251FACEB" w14:textId="77777777" w:rsidR="004E526E" w:rsidRPr="00A2532C" w:rsidRDefault="004E526E" w:rsidP="00DC7220">
      <w:pPr>
        <w:rPr>
          <w:b/>
        </w:rPr>
      </w:pPr>
      <w:r w:rsidRPr="00A2532C">
        <w:rPr>
          <w:b/>
        </w:rPr>
        <w:t>Videos</w:t>
      </w:r>
    </w:p>
    <w:p w14:paraId="2EF82995" w14:textId="19D81CB4" w:rsidR="00DC7220" w:rsidRPr="00A2532C" w:rsidRDefault="00DC7220" w:rsidP="00DC7220">
      <w:r w:rsidRPr="00A2532C">
        <w:t xml:space="preserve">We have also included a variety of </w:t>
      </w:r>
      <w:r w:rsidR="0034645A" w:rsidRPr="00A2532C">
        <w:t xml:space="preserve">brief </w:t>
      </w:r>
      <w:r w:rsidRPr="00A2532C">
        <w:t xml:space="preserve">videos on the syllabus, some from </w:t>
      </w:r>
      <w:r w:rsidR="008465CB">
        <w:t xml:space="preserve">the </w:t>
      </w:r>
      <w:r w:rsidRPr="00A2532C">
        <w:t xml:space="preserve">HarvardX version of the course.  Viewing them ahead of time will allow for more active participation both in lecture and in section. </w:t>
      </w:r>
    </w:p>
    <w:p w14:paraId="3D16A647" w14:textId="5D4158CA" w:rsidR="00790F04" w:rsidRPr="00A2532C" w:rsidRDefault="00790F04" w:rsidP="00790F04">
      <w:pPr>
        <w:rPr>
          <w:b/>
        </w:rPr>
      </w:pPr>
    </w:p>
    <w:p w14:paraId="215214F9" w14:textId="77777777" w:rsidR="00AC7D09" w:rsidRPr="00A2532C" w:rsidRDefault="00AC7D09" w:rsidP="00790F04"/>
    <w:p w14:paraId="197BD10C" w14:textId="693E86DC" w:rsidR="00AC7D09" w:rsidRPr="00A2532C" w:rsidRDefault="008B6274" w:rsidP="00AC7D09">
      <w:pPr>
        <w:rPr>
          <w:b/>
        </w:rPr>
      </w:pPr>
      <w:r w:rsidRPr="00A2532C">
        <w:rPr>
          <w:b/>
        </w:rPr>
        <w:t>Course Requirements</w:t>
      </w:r>
      <w:r w:rsidR="00AC7D09" w:rsidRPr="00A2532C">
        <w:rPr>
          <w:b/>
        </w:rPr>
        <w:t>:</w:t>
      </w:r>
    </w:p>
    <w:p w14:paraId="488FEC56" w14:textId="6E1B98BE" w:rsidR="00AC7D09" w:rsidRPr="00A2532C" w:rsidRDefault="008043E0" w:rsidP="00AC7D09">
      <w:r w:rsidRPr="00A2532C">
        <w:lastRenderedPageBreak/>
        <w:tab/>
      </w:r>
      <w:r w:rsidR="00AC7D09" w:rsidRPr="00A2532C">
        <w:t xml:space="preserve">Our main requirement is that you </w:t>
      </w:r>
      <w:r w:rsidR="00AC7D09" w:rsidRPr="00A2532C">
        <w:rPr>
          <w:b/>
        </w:rPr>
        <w:t>actively engage with the course</w:t>
      </w:r>
      <w:r w:rsidR="00AC7D09" w:rsidRPr="00A2532C">
        <w:t xml:space="preserve">, attending lectures, completing section assignments, and designing a final project that allows you to extend your own capacities in some way.  Please understand that each element of the course is related to the others.  The best way to prepare for section is to be fully present (mind and body) in lecture.  The best assurance of success on </w:t>
      </w:r>
      <w:r w:rsidR="004425D5" w:rsidRPr="00A2532C">
        <w:t xml:space="preserve">a final project </w:t>
      </w:r>
      <w:r w:rsidR="00AC7D09" w:rsidRPr="00A2532C">
        <w:t xml:space="preserve">is to do your best in section assignments.  </w:t>
      </w:r>
    </w:p>
    <w:p w14:paraId="1DD9A4AD" w14:textId="0C831B33" w:rsidR="00D4259F" w:rsidRPr="00A2532C" w:rsidRDefault="008043E0" w:rsidP="00AC7D09">
      <w:r w:rsidRPr="00A2532C">
        <w:tab/>
      </w:r>
      <w:r w:rsidR="004425D5" w:rsidRPr="00A2532C">
        <w:t xml:space="preserve">Weekly assignments </w:t>
      </w:r>
      <w:r w:rsidR="00DC7220" w:rsidRPr="00A2532C">
        <w:t xml:space="preserve">may </w:t>
      </w:r>
      <w:r w:rsidR="004425D5" w:rsidRPr="00A2532C">
        <w:t>include both reading and visits to</w:t>
      </w:r>
      <w:r w:rsidR="002C5778" w:rsidRPr="00A2532C">
        <w:t xml:space="preserve"> selected exhibits</w:t>
      </w:r>
      <w:r w:rsidR="004425D5" w:rsidRPr="00A2532C">
        <w:t xml:space="preserve">.  </w:t>
      </w:r>
      <w:r w:rsidR="00DC7220" w:rsidRPr="00A2532C">
        <w:t xml:space="preserve">Since museum hours vary, be sure to plan ahead. </w:t>
      </w:r>
      <w:r w:rsidR="002C5778" w:rsidRPr="00A2532C">
        <w:t>In addition, d</w:t>
      </w:r>
      <w:r w:rsidR="00AC7D09" w:rsidRPr="00A2532C">
        <w:t xml:space="preserve">uring the weeks of </w:t>
      </w:r>
      <w:r w:rsidR="000363F9" w:rsidRPr="00A2532C">
        <w:t xml:space="preserve">October 9 </w:t>
      </w:r>
      <w:r w:rsidR="00AC7D09" w:rsidRPr="00A2532C">
        <w:t>and</w:t>
      </w:r>
      <w:r w:rsidR="00100AC3" w:rsidRPr="00A2532C">
        <w:t xml:space="preserve"> </w:t>
      </w:r>
      <w:r w:rsidR="000363F9" w:rsidRPr="00A2532C">
        <w:t xml:space="preserve">November 6, </w:t>
      </w:r>
      <w:r w:rsidR="00AC7D09" w:rsidRPr="00A2532C">
        <w:t xml:space="preserve">we will </w:t>
      </w:r>
      <w:r w:rsidR="004425D5" w:rsidRPr="00A2532C">
        <w:t xml:space="preserve">cancel regular lectures and sections to allow </w:t>
      </w:r>
      <w:r w:rsidR="000363F9" w:rsidRPr="00A2532C">
        <w:t xml:space="preserve">you </w:t>
      </w:r>
      <w:r w:rsidR="004425D5" w:rsidRPr="00A2532C">
        <w:t xml:space="preserve">to </w:t>
      </w:r>
      <w:r w:rsidR="00DC7220" w:rsidRPr="00A2532C">
        <w:t xml:space="preserve">participate in </w:t>
      </w:r>
      <w:r w:rsidR="004425D5" w:rsidRPr="00A2532C">
        <w:t xml:space="preserve">two or more </w:t>
      </w:r>
      <w:r w:rsidR="00DC7220" w:rsidRPr="00A2532C">
        <w:t xml:space="preserve">group visits </w:t>
      </w:r>
      <w:r w:rsidR="004425D5" w:rsidRPr="00A2532C">
        <w:t xml:space="preserve">to storage collections or </w:t>
      </w:r>
      <w:r w:rsidR="00DC7220" w:rsidRPr="00A2532C">
        <w:t xml:space="preserve">less accessible </w:t>
      </w:r>
      <w:r w:rsidR="002C5778" w:rsidRPr="00A2532C">
        <w:t>sites</w:t>
      </w:r>
      <w:r w:rsidR="004425D5" w:rsidRPr="00A2532C">
        <w:t xml:space="preserve">. </w:t>
      </w:r>
      <w:r w:rsidR="00DC7220" w:rsidRPr="00A2532C">
        <w:t xml:space="preserve"> </w:t>
      </w:r>
      <w:r w:rsidR="00327A9F" w:rsidRPr="00A2532C">
        <w:t>Here is how we will value each component of the course:</w:t>
      </w:r>
    </w:p>
    <w:p w14:paraId="69F57F91" w14:textId="43B82DFA" w:rsidR="008043E0" w:rsidRPr="00A2532C" w:rsidRDefault="008043E0" w:rsidP="00AC7D09">
      <w:r w:rsidRPr="00A2532C">
        <w:tab/>
      </w:r>
    </w:p>
    <w:p w14:paraId="3BA3F963" w14:textId="77777777" w:rsidR="005F50D9" w:rsidRPr="00A2532C" w:rsidRDefault="005F50D9" w:rsidP="00AC7D09">
      <w:r w:rsidRPr="00A2532C">
        <w:rPr>
          <w:b/>
        </w:rPr>
        <w:t>1</w:t>
      </w:r>
      <w:r w:rsidR="00AC7D09" w:rsidRPr="00A2532C">
        <w:rPr>
          <w:b/>
        </w:rPr>
        <w:t xml:space="preserve">. </w:t>
      </w:r>
      <w:r w:rsidRPr="00A2532C">
        <w:rPr>
          <w:b/>
        </w:rPr>
        <w:t xml:space="preserve">Overall Participation (including lecture) </w:t>
      </w:r>
      <w:r w:rsidRPr="00A2532C">
        <w:t>(20% of final grade)</w:t>
      </w:r>
    </w:p>
    <w:p w14:paraId="39C7C482" w14:textId="77777777" w:rsidR="005F50D9" w:rsidRPr="00A2532C" w:rsidRDefault="005F50D9" w:rsidP="00AC7D09"/>
    <w:p w14:paraId="594BEF1E" w14:textId="3FCA889E" w:rsidR="00AC7D09" w:rsidRPr="00A2532C" w:rsidRDefault="005F50D9" w:rsidP="00AC7D09">
      <w:pPr>
        <w:rPr>
          <w:b/>
        </w:rPr>
      </w:pPr>
      <w:r w:rsidRPr="00A2532C">
        <w:t xml:space="preserve">2. </w:t>
      </w:r>
      <w:r w:rsidRPr="00A2532C">
        <w:rPr>
          <w:b/>
        </w:rPr>
        <w:t xml:space="preserve">Weekly </w:t>
      </w:r>
      <w:r w:rsidR="00AC7D09" w:rsidRPr="00A2532C">
        <w:rPr>
          <w:b/>
        </w:rPr>
        <w:t>Section Assignments</w:t>
      </w:r>
      <w:r w:rsidRPr="00A2532C">
        <w:rPr>
          <w:b/>
        </w:rPr>
        <w:t xml:space="preserve"> </w:t>
      </w:r>
      <w:r w:rsidRPr="00A2532C">
        <w:t>(20% of final grade</w:t>
      </w:r>
      <w:r w:rsidRPr="00A2532C">
        <w:rPr>
          <w:b/>
        </w:rPr>
        <w:t>)</w:t>
      </w:r>
    </w:p>
    <w:p w14:paraId="03D39E17" w14:textId="77777777" w:rsidR="00AC7D09" w:rsidRPr="00A2532C" w:rsidRDefault="00AC7D09" w:rsidP="00AC7D09"/>
    <w:p w14:paraId="68648DC7" w14:textId="6465C91B" w:rsidR="00AC7D09" w:rsidRPr="00A2532C" w:rsidRDefault="008043E0" w:rsidP="00AC7D09">
      <w:r w:rsidRPr="00A2532C">
        <w:rPr>
          <w:b/>
        </w:rPr>
        <w:t>3</w:t>
      </w:r>
      <w:r w:rsidR="00AC7D09" w:rsidRPr="00A2532C">
        <w:rPr>
          <w:b/>
        </w:rPr>
        <w:t xml:space="preserve">. </w:t>
      </w:r>
      <w:r w:rsidR="005F50D9" w:rsidRPr="00A2532C">
        <w:rPr>
          <w:b/>
        </w:rPr>
        <w:t>T</w:t>
      </w:r>
      <w:r w:rsidR="00AC7D09" w:rsidRPr="00A2532C">
        <w:rPr>
          <w:b/>
        </w:rPr>
        <w:t>wo Short (5-6 page) Papers</w:t>
      </w:r>
      <w:r w:rsidR="00AC7D09" w:rsidRPr="00A2532C">
        <w:t xml:space="preserve">. </w:t>
      </w:r>
      <w:r w:rsidR="005F50D9" w:rsidRPr="00A2532C">
        <w:t>(30% of final grade)</w:t>
      </w:r>
    </w:p>
    <w:p w14:paraId="38145945" w14:textId="086C3F5E" w:rsidR="00AC7D09" w:rsidRPr="00A2532C" w:rsidRDefault="00AC7D09" w:rsidP="00AC7D09">
      <w:pPr>
        <w:rPr>
          <w:color w:val="FF0000"/>
        </w:rPr>
      </w:pPr>
      <w:r w:rsidRPr="00A2532C">
        <w:tab/>
        <w:t xml:space="preserve">First Paper—due </w:t>
      </w:r>
      <w:r w:rsidR="00100AC3" w:rsidRPr="00A2532C">
        <w:t xml:space="preserve">to your TF </w:t>
      </w:r>
      <w:r w:rsidRPr="00A2532C">
        <w:t xml:space="preserve">by 5 p.m. </w:t>
      </w:r>
      <w:r w:rsidR="00607DF1">
        <w:t>Sept. 29</w:t>
      </w:r>
      <w:r w:rsidR="000363F9" w:rsidRPr="00A2532C">
        <w:t>.</w:t>
      </w:r>
    </w:p>
    <w:p w14:paraId="7FB1841B" w14:textId="3A361143" w:rsidR="00AC7D09" w:rsidRPr="00A2532C" w:rsidRDefault="00AC7D09" w:rsidP="00AC7D09">
      <w:pPr>
        <w:rPr>
          <w:color w:val="FF0000"/>
        </w:rPr>
      </w:pPr>
      <w:r w:rsidRPr="00A2532C">
        <w:tab/>
        <w:t xml:space="preserve">Second Paper—due </w:t>
      </w:r>
      <w:r w:rsidR="00100AC3" w:rsidRPr="00A2532C">
        <w:t xml:space="preserve">to your TF </w:t>
      </w:r>
      <w:r w:rsidRPr="00A2532C">
        <w:t xml:space="preserve">by 5 p.m. </w:t>
      </w:r>
      <w:r w:rsidR="000363F9" w:rsidRPr="00A2532C">
        <w:t>Oct. 2</w:t>
      </w:r>
      <w:r w:rsidR="00482D5A">
        <w:t>7</w:t>
      </w:r>
      <w:r w:rsidR="000363F9" w:rsidRPr="00A2532C">
        <w:t>.</w:t>
      </w:r>
    </w:p>
    <w:p w14:paraId="5825EA0E" w14:textId="77777777" w:rsidR="00AC7D09" w:rsidRPr="00A2532C" w:rsidRDefault="00AC7D09" w:rsidP="00AC7D09"/>
    <w:p w14:paraId="3F25FB7F" w14:textId="3D58CB46" w:rsidR="005F50D9" w:rsidRPr="00A2532C" w:rsidRDefault="005F50D9" w:rsidP="00AC7D09">
      <w:pPr>
        <w:rPr>
          <w:i/>
        </w:rPr>
      </w:pPr>
      <w:r w:rsidRPr="00A2532C">
        <w:rPr>
          <w:b/>
        </w:rPr>
        <w:t>3</w:t>
      </w:r>
      <w:r w:rsidR="00AC7D09" w:rsidRPr="00A2532C">
        <w:rPr>
          <w:b/>
        </w:rPr>
        <w:t xml:space="preserve">. </w:t>
      </w:r>
      <w:r w:rsidRPr="00A2532C">
        <w:rPr>
          <w:b/>
        </w:rPr>
        <w:t xml:space="preserve">A </w:t>
      </w:r>
      <w:r w:rsidR="00AC7D09" w:rsidRPr="00A2532C">
        <w:rPr>
          <w:b/>
        </w:rPr>
        <w:t xml:space="preserve">Final Project </w:t>
      </w:r>
      <w:r w:rsidRPr="00A2532C">
        <w:t>(30% of final grad)</w:t>
      </w:r>
    </w:p>
    <w:p w14:paraId="41910ACE" w14:textId="2B42017E" w:rsidR="00AC7D09" w:rsidRDefault="00327A9F" w:rsidP="00AC7D09">
      <w:r w:rsidRPr="00A2532C">
        <w:t>This assignment ask</w:t>
      </w:r>
      <w:r w:rsidR="00B63AD2" w:rsidRPr="00A2532C">
        <w:t>s</w:t>
      </w:r>
      <w:r w:rsidRPr="00A2532C">
        <w:t xml:space="preserve"> you to </w:t>
      </w:r>
      <w:r w:rsidRPr="00A2532C">
        <w:rPr>
          <w:i/>
        </w:rPr>
        <w:t xml:space="preserve">interpret </w:t>
      </w:r>
      <w:r w:rsidRPr="00A2532C">
        <w:t xml:space="preserve">an object or group of objects in Harvard’s collections. The </w:t>
      </w:r>
      <w:r w:rsidR="00AC7D09" w:rsidRPr="00A2532C">
        <w:t xml:space="preserve">format will depend on the </w:t>
      </w:r>
      <w:r w:rsidR="000C4821" w:rsidRPr="00A2532C">
        <w:t xml:space="preserve">type </w:t>
      </w:r>
      <w:r w:rsidR="00AC7D09" w:rsidRPr="00A2532C">
        <w:t>of object you have chosen and the questions you want to explore</w:t>
      </w:r>
      <w:r w:rsidR="005F50D9" w:rsidRPr="00A2532C">
        <w:t xml:space="preserve">. </w:t>
      </w:r>
      <w:r w:rsidR="00B63AD2" w:rsidRPr="00A2532C">
        <w:t xml:space="preserve"> You can produce an </w:t>
      </w:r>
      <w:r w:rsidR="000C4821" w:rsidRPr="00A2532C">
        <w:t>interpretive paper of 10-12 pages</w:t>
      </w:r>
      <w:r w:rsidR="00B63AD2" w:rsidRPr="00A2532C">
        <w:t xml:space="preserve"> or </w:t>
      </w:r>
      <w:r w:rsidR="000C4821" w:rsidRPr="00A2532C">
        <w:t>an art-work or reproduction</w:t>
      </w:r>
      <w:r w:rsidRPr="00A2532C">
        <w:t xml:space="preserve"> of your chosen object</w:t>
      </w:r>
      <w:r w:rsidR="00B63AD2" w:rsidRPr="00A2532C">
        <w:t xml:space="preserve">.  With permission, you can also join Sara Schechner and a few others to create an exhibit. </w:t>
      </w:r>
      <w:r w:rsidR="005F50D9" w:rsidRPr="00A2532C">
        <w:t xml:space="preserve">We will post </w:t>
      </w:r>
      <w:r w:rsidR="005860A7" w:rsidRPr="00A2532C">
        <w:t xml:space="preserve">several </w:t>
      </w:r>
      <w:r w:rsidR="005F50D9" w:rsidRPr="00A2532C">
        <w:t xml:space="preserve">examples of successful projects submitted in the past </w:t>
      </w:r>
      <w:r w:rsidR="005860A7" w:rsidRPr="00A2532C">
        <w:t xml:space="preserve">and will </w:t>
      </w:r>
      <w:r w:rsidR="005F50D9" w:rsidRPr="00A2532C">
        <w:t>devote class time to instruction in methods and techniques</w:t>
      </w:r>
      <w:r w:rsidR="00AC7D09" w:rsidRPr="00A2532C">
        <w:t>.</w:t>
      </w:r>
      <w:r w:rsidR="000C4821" w:rsidRPr="00A2532C">
        <w:t xml:space="preserve">  Regardless of format, your project </w:t>
      </w:r>
      <w:r w:rsidR="000C4821" w:rsidRPr="00A2532C">
        <w:rPr>
          <w:i/>
        </w:rPr>
        <w:t>must</w:t>
      </w:r>
      <w:r w:rsidR="000C4821" w:rsidRPr="00A2532C">
        <w:t xml:space="preserve"> include close-up examination (usually with cur</w:t>
      </w:r>
      <w:r w:rsidRPr="00A2532C">
        <w:t>a</w:t>
      </w:r>
      <w:r w:rsidR="000C4821" w:rsidRPr="00A2532C">
        <w:t xml:space="preserve">torial assistance) of </w:t>
      </w:r>
      <w:r w:rsidRPr="00A2532C">
        <w:t xml:space="preserve">the object or objects you have chosen. </w:t>
      </w:r>
    </w:p>
    <w:p w14:paraId="7D8A6516" w14:textId="3E72815D" w:rsidR="00F61D91" w:rsidRDefault="00F61D91" w:rsidP="00AC7D09">
      <w:r>
        <w:tab/>
        <w:t>Applications for exhibition with Sara Schechner—due Oct. 16</w:t>
      </w:r>
    </w:p>
    <w:p w14:paraId="72390869" w14:textId="109D200A" w:rsidR="003A5119" w:rsidRPr="00A2532C" w:rsidRDefault="003A5119" w:rsidP="00AC7D09">
      <w:r>
        <w:tab/>
        <w:t>Preliminary topics for final—due the week of Oct. 30</w:t>
      </w:r>
    </w:p>
    <w:p w14:paraId="74585401" w14:textId="790337D0" w:rsidR="00AC7D09" w:rsidRPr="00A2532C" w:rsidRDefault="00AC7D09" w:rsidP="00AC7D09">
      <w:r w:rsidRPr="00A2532C">
        <w:tab/>
        <w:t xml:space="preserve">Project proposal—due </w:t>
      </w:r>
      <w:r w:rsidR="00100AC3" w:rsidRPr="00A2532C">
        <w:t xml:space="preserve">to your TF </w:t>
      </w:r>
      <w:r w:rsidR="000C4821" w:rsidRPr="00A2532C">
        <w:t xml:space="preserve">the week of Nov. 15. </w:t>
      </w:r>
    </w:p>
    <w:p w14:paraId="7B9B9C07" w14:textId="1F8DB38B" w:rsidR="00AC7D09" w:rsidRPr="00A2532C" w:rsidRDefault="00AC7D09" w:rsidP="00AC7D09">
      <w:r w:rsidRPr="00A2532C">
        <w:tab/>
        <w:t xml:space="preserve">Final project—due </w:t>
      </w:r>
      <w:r w:rsidR="00100AC3" w:rsidRPr="00A2532C">
        <w:t xml:space="preserve">to your TF </w:t>
      </w:r>
      <w:r w:rsidRPr="00A2532C">
        <w:t xml:space="preserve">by 5 p.m. </w:t>
      </w:r>
      <w:r w:rsidR="000363F9" w:rsidRPr="00A2532C">
        <w:t>Dec. 6.</w:t>
      </w:r>
    </w:p>
    <w:p w14:paraId="55D026E1" w14:textId="46CB2264" w:rsidR="00AC7D09" w:rsidRPr="00A2532C" w:rsidRDefault="00AC7D09" w:rsidP="00AC7D09">
      <w:r w:rsidRPr="00A2532C">
        <w:tab/>
      </w:r>
    </w:p>
    <w:p w14:paraId="204917A7" w14:textId="7C06FC7C" w:rsidR="00474F8A" w:rsidRPr="00A2532C" w:rsidRDefault="004537DD">
      <w:pPr>
        <w:rPr>
          <w:b/>
        </w:rPr>
      </w:pPr>
      <w:r w:rsidRPr="00A2532C">
        <w:rPr>
          <w:b/>
        </w:rPr>
        <w:t>Schedule</w:t>
      </w:r>
    </w:p>
    <w:p w14:paraId="31855138" w14:textId="39C89BD9" w:rsidR="00327A9F" w:rsidRPr="00A2532C" w:rsidRDefault="00327A9F" w:rsidP="00BD631C">
      <w:pPr>
        <w:rPr>
          <w:i/>
        </w:rPr>
      </w:pPr>
      <w:r w:rsidRPr="00A2532C">
        <w:rPr>
          <w:i/>
        </w:rPr>
        <w:t>Note: Assignment</w:t>
      </w:r>
      <w:r w:rsidR="00F66418" w:rsidRPr="00A2532C">
        <w:rPr>
          <w:i/>
        </w:rPr>
        <w:t>s</w:t>
      </w:r>
      <w:r w:rsidRPr="00A2532C">
        <w:rPr>
          <w:i/>
        </w:rPr>
        <w:t xml:space="preserve"> are due on or before your section meeting for the week </w:t>
      </w:r>
      <w:r w:rsidR="004E526E" w:rsidRPr="00A2532C">
        <w:rPr>
          <w:i/>
        </w:rPr>
        <w:t xml:space="preserve">under which they are </w:t>
      </w:r>
      <w:r w:rsidRPr="00A2532C">
        <w:rPr>
          <w:i/>
        </w:rPr>
        <w:t>listed.</w:t>
      </w:r>
    </w:p>
    <w:p w14:paraId="3545C8B0" w14:textId="77777777" w:rsidR="00327A9F" w:rsidRPr="00A2532C" w:rsidRDefault="00327A9F" w:rsidP="00BD631C">
      <w:pPr>
        <w:rPr>
          <w:b/>
        </w:rPr>
      </w:pPr>
    </w:p>
    <w:p w14:paraId="556586D6" w14:textId="3121C2E5" w:rsidR="00C75AC4" w:rsidRPr="00A2532C" w:rsidRDefault="00C75AC4" w:rsidP="00BD631C">
      <w:pPr>
        <w:rPr>
          <w:b/>
        </w:rPr>
      </w:pPr>
      <w:r w:rsidRPr="00A2532C">
        <w:rPr>
          <w:b/>
        </w:rPr>
        <w:t>Aug. 30, Sept. 6</w:t>
      </w:r>
      <w:r w:rsidRPr="00A2532C">
        <w:t xml:space="preserve"> </w:t>
      </w:r>
      <w:r w:rsidRPr="00A2532C">
        <w:rPr>
          <w:b/>
        </w:rPr>
        <w:t>Thinking with Things</w:t>
      </w:r>
    </w:p>
    <w:p w14:paraId="737C611A" w14:textId="513BE04A" w:rsidR="004E4C21" w:rsidRPr="008465CB" w:rsidRDefault="004E4C21" w:rsidP="004E4C21">
      <w:r>
        <w:t>1</w:t>
      </w:r>
      <w:r w:rsidRPr="00174AC1">
        <w:t xml:space="preserve">. </w:t>
      </w:r>
      <w:r>
        <w:t>View</w:t>
      </w:r>
      <w:r>
        <w:rPr>
          <w:b/>
        </w:rPr>
        <w:t xml:space="preserve"> </w:t>
      </w:r>
      <w:r w:rsidR="00680F5D" w:rsidRPr="00A2532C">
        <w:t xml:space="preserve">“This is Not a Chair” </w:t>
      </w:r>
    </w:p>
    <w:p w14:paraId="0AF807F6" w14:textId="7ABCF282" w:rsidR="00D31CBF" w:rsidRPr="00A2532C" w:rsidRDefault="004E4C21" w:rsidP="00D31CBF">
      <w:pPr>
        <w:rPr>
          <w:i/>
        </w:rPr>
      </w:pPr>
      <w:r>
        <w:t>2</w:t>
      </w:r>
      <w:r w:rsidR="005F060A" w:rsidRPr="00A2532C">
        <w:t xml:space="preserve">. </w:t>
      </w:r>
      <w:r w:rsidR="00867276" w:rsidRPr="00A2532C">
        <w:t>Read “Introduction</w:t>
      </w:r>
      <w:r w:rsidR="00872087" w:rsidRPr="00A2532C">
        <w:t>:</w:t>
      </w:r>
      <w:r w:rsidR="006C349B" w:rsidRPr="00A2532C">
        <w:t xml:space="preserve"> </w:t>
      </w:r>
      <w:r w:rsidR="00872087" w:rsidRPr="00A2532C">
        <w:t>Thinking with Things</w:t>
      </w:r>
      <w:r w:rsidR="00867276" w:rsidRPr="00A2532C">
        <w:t xml:space="preserve">” </w:t>
      </w:r>
      <w:r w:rsidR="00872087" w:rsidRPr="00A2532C">
        <w:t xml:space="preserve">in </w:t>
      </w:r>
      <w:r w:rsidR="00867276" w:rsidRPr="00A2532C">
        <w:rPr>
          <w:i/>
        </w:rPr>
        <w:t xml:space="preserve">Tangible Things, </w:t>
      </w:r>
      <w:r w:rsidR="00D5154B" w:rsidRPr="00A2532C">
        <w:t xml:space="preserve">pp. 1-20. </w:t>
      </w:r>
    </w:p>
    <w:p w14:paraId="4446AB6B" w14:textId="77777777" w:rsidR="009B3337" w:rsidRDefault="009B3337" w:rsidP="00D31CBF">
      <w:r>
        <w:t xml:space="preserve">3. Read, Rachel Poliquin, “Introduction,” in </w:t>
      </w:r>
      <w:r>
        <w:rPr>
          <w:i/>
        </w:rPr>
        <w:t xml:space="preserve">The Breathless Zoo, </w:t>
      </w:r>
      <w:r>
        <w:t>pp. 1-10</w:t>
      </w:r>
    </w:p>
    <w:p w14:paraId="685621AF" w14:textId="18DF6C75" w:rsidR="00D31CBF" w:rsidRPr="00A2532C" w:rsidRDefault="009B3337" w:rsidP="00D31CBF">
      <w:r>
        <w:t>4.</w:t>
      </w:r>
      <w:r w:rsidR="00D31CBF" w:rsidRPr="00A2532C">
        <w:t xml:space="preserve"> Read “Rewriting Harvard’s History,” in </w:t>
      </w:r>
      <w:r w:rsidR="00D31CBF" w:rsidRPr="00A2532C">
        <w:rPr>
          <w:i/>
        </w:rPr>
        <w:t>Y</w:t>
      </w:r>
      <w:r w:rsidR="00867276" w:rsidRPr="00A2532C">
        <w:rPr>
          <w:i/>
        </w:rPr>
        <w:t>ards and Gates</w:t>
      </w:r>
      <w:r w:rsidR="00867276" w:rsidRPr="00A2532C">
        <w:t xml:space="preserve"> </w:t>
      </w:r>
      <w:r w:rsidR="00D31CBF" w:rsidRPr="00A2532C">
        <w:t>pp. 1-</w:t>
      </w:r>
      <w:r w:rsidR="00867276" w:rsidRPr="00A2532C">
        <w:t>1</w:t>
      </w:r>
      <w:r w:rsidR="00D31CBF" w:rsidRPr="00A2532C">
        <w:t>3 [</w:t>
      </w:r>
      <w:r w:rsidR="009C7440" w:rsidRPr="00A2532C">
        <w:t xml:space="preserve">pp. </w:t>
      </w:r>
      <w:r w:rsidR="00D31CBF" w:rsidRPr="00A2532C">
        <w:t>8-28</w:t>
      </w:r>
      <w:r w:rsidR="00867276" w:rsidRPr="00A2532C">
        <w:t>, online</w:t>
      </w:r>
      <w:r w:rsidR="00D31CBF" w:rsidRPr="00A2532C">
        <w:t xml:space="preserve">] </w:t>
      </w:r>
    </w:p>
    <w:p w14:paraId="4CAC1CE0" w14:textId="2D3617EF" w:rsidR="005F060A" w:rsidRPr="00616203" w:rsidRDefault="009B3337" w:rsidP="005F060A">
      <w:r>
        <w:t>5</w:t>
      </w:r>
      <w:r w:rsidR="005F060A" w:rsidRPr="00A2532C">
        <w:t xml:space="preserve">. Explore </w:t>
      </w:r>
      <w:r w:rsidR="00225C40" w:rsidRPr="00A2532C">
        <w:rPr>
          <w:i/>
        </w:rPr>
        <w:t>Harvard Crimson</w:t>
      </w:r>
      <w:r w:rsidR="00225C40" w:rsidRPr="00A2532C">
        <w:t xml:space="preserve"> </w:t>
      </w:r>
      <w:r w:rsidR="005F060A" w:rsidRPr="00A2532C">
        <w:t>coverage o</w:t>
      </w:r>
      <w:r w:rsidR="00225C40" w:rsidRPr="00A2532C">
        <w:t>f</w:t>
      </w:r>
      <w:r w:rsidR="005F060A" w:rsidRPr="00A2532C">
        <w:t xml:space="preserve"> Harvard Law School shield controversy: </w:t>
      </w:r>
      <w:hyperlink r:id="rId13" w:history="1">
        <w:r w:rsidR="008465CB" w:rsidRPr="00D17721">
          <w:rPr>
            <w:rStyle w:val="Hyperlink"/>
          </w:rPr>
          <w:t>http://www.thecrimson.com/article/2016/3/15/corporation-hls-seal-change/</w:t>
        </w:r>
      </w:hyperlink>
      <w:r w:rsidR="005F060A" w:rsidRPr="00A2532C">
        <w:rPr>
          <w:i/>
        </w:rPr>
        <w:t xml:space="preserve"> </w:t>
      </w:r>
    </w:p>
    <w:p w14:paraId="05DDC68E" w14:textId="0C986B3E" w:rsidR="00474F8A" w:rsidRDefault="00E76E7D" w:rsidP="00474F8A">
      <w:pPr>
        <w:rPr>
          <w:u w:val="single"/>
        </w:rPr>
      </w:pPr>
      <w:r w:rsidRPr="00A2532C">
        <w:lastRenderedPageBreak/>
        <w:tab/>
      </w:r>
      <w:r w:rsidR="00474F8A" w:rsidRPr="00A2532C">
        <w:rPr>
          <w:u w:val="single"/>
        </w:rPr>
        <w:t>No Section</w:t>
      </w:r>
      <w:r w:rsidR="000C4821" w:rsidRPr="00A2532C">
        <w:rPr>
          <w:u w:val="single"/>
        </w:rPr>
        <w:t xml:space="preserve">. </w:t>
      </w:r>
    </w:p>
    <w:p w14:paraId="2816F31B" w14:textId="77777777" w:rsidR="00181799" w:rsidRPr="00A2532C" w:rsidRDefault="00181799" w:rsidP="00474F8A"/>
    <w:p w14:paraId="7DAD2A46" w14:textId="75AABE2F" w:rsidR="007A3580" w:rsidRDefault="00C75AC4" w:rsidP="007A3580">
      <w:pPr>
        <w:rPr>
          <w:b/>
        </w:rPr>
      </w:pPr>
      <w:r w:rsidRPr="00A2532C">
        <w:rPr>
          <w:b/>
        </w:rPr>
        <w:t>September 11-</w:t>
      </w:r>
      <w:r w:rsidR="000C4821" w:rsidRPr="00A2532C">
        <w:rPr>
          <w:b/>
        </w:rPr>
        <w:t xml:space="preserve">13 </w:t>
      </w:r>
      <w:r w:rsidR="007A3580">
        <w:rPr>
          <w:b/>
        </w:rPr>
        <w:t>Looking Closely</w:t>
      </w:r>
    </w:p>
    <w:p w14:paraId="773BC6AC" w14:textId="77777777" w:rsidR="007A3580" w:rsidRDefault="007A3580" w:rsidP="007A3580">
      <w:r>
        <w:t xml:space="preserve">1. View: “Look at the Fish”. </w:t>
      </w:r>
    </w:p>
    <w:p w14:paraId="4B41AF71" w14:textId="77777777" w:rsidR="007A3580" w:rsidRPr="00A2532C" w:rsidRDefault="007A3580" w:rsidP="007A3580">
      <w:pPr>
        <w:rPr>
          <w:rFonts w:cs="Verdana"/>
          <w:bCs/>
          <w:iCs/>
        </w:rPr>
      </w:pPr>
      <w:r>
        <w:t>2. Read Conn, Ch. 1, “Museums and the Late Victorian World,” pp. 3-31</w:t>
      </w:r>
      <w:r w:rsidRPr="00A2532C">
        <w:t xml:space="preserve">. </w:t>
      </w:r>
    </w:p>
    <w:p w14:paraId="2A187D75" w14:textId="24189B4D" w:rsidR="007A3580" w:rsidRDefault="007A3580" w:rsidP="007A3580">
      <w:r>
        <w:t xml:space="preserve">3. </w:t>
      </w:r>
      <w:r w:rsidRPr="00A2532C">
        <w:t xml:space="preserve">Read </w:t>
      </w:r>
      <w:r w:rsidRPr="00A2532C">
        <w:rPr>
          <w:i/>
        </w:rPr>
        <w:t xml:space="preserve">Tangible Things, </w:t>
      </w:r>
      <w:r w:rsidRPr="00A2532C">
        <w:t>Ch. 1, “Things in Place</w:t>
      </w:r>
      <w:r>
        <w:t>,</w:t>
      </w:r>
      <w:r w:rsidRPr="00A2532C">
        <w:t>” pp. 2</w:t>
      </w:r>
      <w:r>
        <w:t>1</w:t>
      </w:r>
      <w:r w:rsidRPr="00A2532C">
        <w:t>-</w:t>
      </w:r>
      <w:r>
        <w:t xml:space="preserve">38 and the accompanying case studies, “A Glass Jar,” </w:t>
      </w:r>
      <w:r w:rsidR="00915AFB">
        <w:t>and “A Collection of Powders</w:t>
      </w:r>
      <w:r>
        <w:t>“</w:t>
      </w:r>
      <w:r w:rsidR="00915AFB">
        <w:t xml:space="preserve"> </w:t>
      </w:r>
      <w:r>
        <w:t>pp. 46-5</w:t>
      </w:r>
      <w:r w:rsidR="00915AFB">
        <w:t>0 and 59-64</w:t>
      </w:r>
      <w:r>
        <w:t>.</w:t>
      </w:r>
    </w:p>
    <w:p w14:paraId="31F45EBD" w14:textId="5F0AAD44" w:rsidR="007A3580" w:rsidRDefault="00915AFB" w:rsidP="007A3580">
      <w:r>
        <w:t xml:space="preserve">4. </w:t>
      </w:r>
      <w:r w:rsidR="007A3580">
        <w:t xml:space="preserve">Read “Unexpected Discoveries: The Joy of Object Photography,” in </w:t>
      </w:r>
      <w:r w:rsidR="007A3580">
        <w:rPr>
          <w:i/>
        </w:rPr>
        <w:t xml:space="preserve">Tangible Things, </w:t>
      </w:r>
      <w:r w:rsidR="007A3580">
        <w:t>192-207.</w:t>
      </w:r>
    </w:p>
    <w:p w14:paraId="6FF2B0C6" w14:textId="77777777" w:rsidR="00A26EEE" w:rsidRDefault="00803C77" w:rsidP="00803C77">
      <w:pPr>
        <w:pStyle w:val="Heading1"/>
        <w:rPr>
          <w:rFonts w:eastAsia="Times New Roman"/>
        </w:rPr>
      </w:pPr>
      <w:r w:rsidRPr="00803C77">
        <w:rPr>
          <w:rFonts w:cs="Helvetica"/>
          <w:b w:val="0"/>
        </w:rPr>
        <w:t>5. Visit “</w:t>
      </w:r>
      <w:r w:rsidRPr="00803C77">
        <w:rPr>
          <w:rFonts w:eastAsia="Times New Roman"/>
          <w:b w:val="0"/>
        </w:rPr>
        <w:t>Glass Flowers: The Ware Collection of Blaschka Glass Models of Plants,”</w:t>
      </w:r>
      <w:r>
        <w:rPr>
          <w:rFonts w:eastAsia="Times New Roman"/>
          <w:b w:val="0"/>
        </w:rPr>
        <w:t xml:space="preserve"> Museum of Natural History, Oxford St., and </w:t>
      </w:r>
      <w:r w:rsidRPr="00803C77">
        <w:rPr>
          <w:rFonts w:eastAsia="Times New Roman"/>
          <w:b w:val="0"/>
        </w:rPr>
        <w:t>“Recreating the Throne of Egyptian Queen Hetepheres,” Semitic Museum, Divinity Ave.</w:t>
      </w:r>
      <w:r>
        <w:rPr>
          <w:rFonts w:eastAsia="Times New Roman"/>
        </w:rPr>
        <w:t xml:space="preserve"> </w:t>
      </w:r>
    </w:p>
    <w:p w14:paraId="2871C4BA" w14:textId="6FE4DAB9" w:rsidR="00803C77" w:rsidRPr="00A26EEE" w:rsidRDefault="00A26EEE" w:rsidP="00803C77">
      <w:pPr>
        <w:pStyle w:val="Heading1"/>
        <w:rPr>
          <w:rFonts w:eastAsia="Times New Roman"/>
          <w:b w:val="0"/>
        </w:rPr>
      </w:pPr>
      <w:r w:rsidRPr="00A26EEE">
        <w:rPr>
          <w:rFonts w:eastAsia="Times New Roman"/>
          <w:b w:val="0"/>
        </w:rPr>
        <w:t xml:space="preserve">6. </w:t>
      </w:r>
      <w:r w:rsidR="00803C77" w:rsidRPr="00A26EEE">
        <w:rPr>
          <w:rFonts w:eastAsia="Times New Roman"/>
          <w:b w:val="0"/>
        </w:rPr>
        <w:t xml:space="preserve"> </w:t>
      </w:r>
      <w:r w:rsidRPr="00A26EEE">
        <w:rPr>
          <w:rFonts w:eastAsia="Times New Roman"/>
          <w:b w:val="0"/>
        </w:rPr>
        <w:t xml:space="preserve">For the story of Agassiz and the fish, see Samuel H. Scudder [writing as "A Former Pupil”], "In the Laboratory With Agassiz", </w:t>
      </w:r>
      <w:r w:rsidRPr="00A26EEE">
        <w:rPr>
          <w:rFonts w:eastAsia="Times New Roman"/>
          <w:b w:val="0"/>
          <w:i/>
        </w:rPr>
        <w:t>Every Saturday</w:t>
      </w:r>
      <w:r w:rsidRPr="00A26EEE">
        <w:rPr>
          <w:rFonts w:eastAsia="Times New Roman"/>
          <w:b w:val="0"/>
        </w:rPr>
        <w:t xml:space="preserve">, Vol. 1, Issue 118 (April 4, 1874), 369-370; reprinted in Jules Marcou, </w:t>
      </w:r>
      <w:r w:rsidRPr="00A26EEE">
        <w:rPr>
          <w:rFonts w:eastAsia="Times New Roman"/>
          <w:b w:val="0"/>
          <w:i/>
        </w:rPr>
        <w:t>Life, letters, and works of Louis Agassiz.</w:t>
      </w:r>
      <w:r w:rsidRPr="00A26EEE">
        <w:rPr>
          <w:rFonts w:eastAsia="Times New Roman"/>
          <w:b w:val="0"/>
        </w:rPr>
        <w:t xml:space="preserve"> New York : Macmillan and Co., 1896, pp. 94-97.</w:t>
      </w:r>
    </w:p>
    <w:p w14:paraId="36B076D9" w14:textId="18802EA8" w:rsidR="00EE740C" w:rsidRDefault="00F86500" w:rsidP="00BE3A80">
      <w:pPr>
        <w:rPr>
          <w:rStyle w:val="Hyperlink"/>
          <w:color w:val="auto"/>
          <w:u w:val="none"/>
        </w:rPr>
      </w:pPr>
      <w:r w:rsidRPr="00A2532C">
        <w:rPr>
          <w:rStyle w:val="Hyperlink"/>
          <w:color w:val="auto"/>
          <w:u w:val="none"/>
        </w:rPr>
        <w:tab/>
      </w:r>
    </w:p>
    <w:p w14:paraId="5E3A5F10" w14:textId="2ACC272B" w:rsidR="00BE3A80" w:rsidRDefault="009D0114" w:rsidP="00BE3A80">
      <w:pPr>
        <w:rPr>
          <w:rStyle w:val="Hyperlink"/>
          <w:color w:val="auto"/>
          <w:u w:val="none"/>
        </w:rPr>
      </w:pPr>
      <w:r>
        <w:rPr>
          <w:rStyle w:val="Hyperlink"/>
          <w:color w:val="auto"/>
          <w:u w:val="none"/>
        </w:rPr>
        <w:tab/>
      </w:r>
      <w:r w:rsidR="00BE3A80" w:rsidRPr="00A2532C">
        <w:rPr>
          <w:rStyle w:val="Hyperlink"/>
          <w:color w:val="auto"/>
          <w:u w:val="none"/>
        </w:rPr>
        <w:t>Section 1</w:t>
      </w:r>
      <w:r w:rsidR="008139D7">
        <w:rPr>
          <w:rStyle w:val="Hyperlink"/>
          <w:color w:val="auto"/>
          <w:u w:val="none"/>
        </w:rPr>
        <w:t xml:space="preserve"> </w:t>
      </w:r>
    </w:p>
    <w:p w14:paraId="6D187481" w14:textId="77777777" w:rsidR="00BE3A80" w:rsidRPr="00A2532C" w:rsidRDefault="00BE3A80" w:rsidP="000A2D83"/>
    <w:p w14:paraId="7EA49657" w14:textId="094FF636" w:rsidR="00BC3E14" w:rsidRPr="007313C1" w:rsidRDefault="00BE3A80" w:rsidP="00BC3E14">
      <w:pPr>
        <w:rPr>
          <w:b/>
        </w:rPr>
      </w:pPr>
      <w:r w:rsidRPr="00A2532C">
        <w:rPr>
          <w:b/>
        </w:rPr>
        <w:t xml:space="preserve">Sept. 18-20 </w:t>
      </w:r>
      <w:r w:rsidR="008139D7">
        <w:rPr>
          <w:b/>
        </w:rPr>
        <w:t>History and Memory</w:t>
      </w:r>
    </w:p>
    <w:p w14:paraId="009F3126" w14:textId="2C3F74DE" w:rsidR="006C349B" w:rsidRDefault="006C349B" w:rsidP="000A2D83">
      <w:r w:rsidRPr="00A2532C">
        <w:t xml:space="preserve">1. </w:t>
      </w:r>
      <w:r w:rsidR="008C5302">
        <w:t>View the video “Mineral”</w:t>
      </w:r>
    </w:p>
    <w:p w14:paraId="4D50C6EB" w14:textId="0DE8F633" w:rsidR="000C0B22" w:rsidRDefault="008C5302" w:rsidP="000C0B22">
      <w:r>
        <w:t xml:space="preserve">2. </w:t>
      </w:r>
      <w:r w:rsidR="00F83E5A">
        <w:t xml:space="preserve">Read </w:t>
      </w:r>
      <w:r w:rsidR="00F83E5A">
        <w:rPr>
          <w:i/>
        </w:rPr>
        <w:t xml:space="preserve">Tangible Things, </w:t>
      </w:r>
      <w:r w:rsidR="00F83E5A">
        <w:t xml:space="preserve">Ch. 2, “Things Unplaced,” pp. 71-80, and the accompanying case studies, “A Galapagos Tortoise Shell” and “A Carved Spoon,” pp. </w:t>
      </w:r>
      <w:r w:rsidR="006E6188">
        <w:t>85-97</w:t>
      </w:r>
      <w:r w:rsidR="00F83E5A">
        <w:t>.</w:t>
      </w:r>
    </w:p>
    <w:p w14:paraId="0EB2B2DB" w14:textId="1973409E" w:rsidR="009D0114" w:rsidRDefault="00FA1C94" w:rsidP="00242490">
      <w:pPr>
        <w:rPr>
          <w:rFonts w:eastAsia="Times New Roman" w:cs="Times New Roman"/>
          <w:i/>
        </w:rPr>
      </w:pPr>
      <w:r>
        <w:t xml:space="preserve">3. </w:t>
      </w:r>
      <w:r w:rsidR="00741374" w:rsidRPr="00A2532C">
        <w:t xml:space="preserve">Read Sven Beckert and Catherine Stevens, </w:t>
      </w:r>
      <w:r w:rsidR="00741374" w:rsidRPr="00A2532C">
        <w:rPr>
          <w:i/>
        </w:rPr>
        <w:t xml:space="preserve">Harvard and Slavery: Seeking a Forgotten History, </w:t>
      </w:r>
      <w:r w:rsidR="00741374" w:rsidRPr="00A2532C">
        <w:t>1-27</w:t>
      </w:r>
      <w:r w:rsidR="00242490">
        <w:rPr>
          <w:rFonts w:eastAsia="Times New Roman" w:cs="Times New Roman"/>
          <w:i/>
        </w:rPr>
        <w:t>.</w:t>
      </w:r>
    </w:p>
    <w:p w14:paraId="2FBD2A93" w14:textId="1FAF25D1" w:rsidR="00242490" w:rsidRDefault="009D0114" w:rsidP="00242490">
      <w:pPr>
        <w:rPr>
          <w:rFonts w:eastAsia="Times New Roman" w:cs="Times New Roman"/>
        </w:rPr>
      </w:pPr>
      <w:r w:rsidRPr="008C5302">
        <w:rPr>
          <w:rFonts w:eastAsia="Times New Roman" w:cs="Times New Roman"/>
        </w:rPr>
        <w:t>4</w:t>
      </w:r>
      <w:r>
        <w:rPr>
          <w:rFonts w:eastAsia="Times New Roman" w:cs="Times New Roman"/>
          <w:i/>
        </w:rPr>
        <w:t xml:space="preserve">. </w:t>
      </w:r>
      <w:r w:rsidR="00242490" w:rsidRPr="009F7E2B">
        <w:rPr>
          <w:rFonts w:eastAsia="Times New Roman" w:cs="Times New Roman"/>
        </w:rPr>
        <w:t>Read,</w:t>
      </w:r>
      <w:r w:rsidR="00242490">
        <w:rPr>
          <w:rFonts w:eastAsia="Times New Roman" w:cs="Times New Roman"/>
          <w:i/>
        </w:rPr>
        <w:t xml:space="preserve"> </w:t>
      </w:r>
      <w:r w:rsidR="00242490" w:rsidRPr="00A2532C">
        <w:rPr>
          <w:rFonts w:eastAsia="Times New Roman" w:cs="Times New Roman"/>
          <w:i/>
        </w:rPr>
        <w:t>A Forensic Dispute on the Legality of Enslaving the Africans, Held at the Public Commencement in Cambridge, New-England</w:t>
      </w:r>
      <w:r w:rsidR="00242490" w:rsidRPr="00A2532C">
        <w:rPr>
          <w:rFonts w:eastAsia="Times New Roman" w:cs="Times New Roman"/>
        </w:rPr>
        <w:t>. Boston, 1773</w:t>
      </w:r>
    </w:p>
    <w:p w14:paraId="213C3E86" w14:textId="6C83B64C" w:rsidR="00836FC3" w:rsidRDefault="00836FC3" w:rsidP="00242490">
      <w:pPr>
        <w:rPr>
          <w:rStyle w:val="Hyperlink"/>
        </w:rPr>
      </w:pPr>
      <w:r>
        <w:rPr>
          <w:rFonts w:eastAsia="Times New Roman" w:cs="Times New Roman"/>
        </w:rPr>
        <w:t xml:space="preserve">5. </w:t>
      </w:r>
      <w:r>
        <w:t xml:space="preserve">Read </w:t>
      </w:r>
      <w:r w:rsidRPr="00A2532C">
        <w:t xml:space="preserve">“The President’s Chair,” in Josiah Quincy, </w:t>
      </w:r>
      <w:r w:rsidRPr="00A2532C">
        <w:rPr>
          <w:i/>
        </w:rPr>
        <w:t>The History of Harvard University</w:t>
      </w:r>
      <w:r w:rsidRPr="00A2532C">
        <w:t>, (Cambridge: University Press, 1840) pp. 288, 544,</w:t>
      </w:r>
      <w:r>
        <w:t xml:space="preserve"> and </w:t>
      </w:r>
      <w:r w:rsidRPr="00A2532C">
        <w:t xml:space="preserve">Marvin Hightower: “The President’s Chair,” </w:t>
      </w:r>
      <w:r w:rsidRPr="00A2532C">
        <w:rPr>
          <w:i/>
        </w:rPr>
        <w:t>Harvard Gazette</w:t>
      </w:r>
      <w:r w:rsidRPr="00A2532C">
        <w:t>, Sept. 24, 2</w:t>
      </w:r>
      <w:r w:rsidR="00A24013">
        <w:t>007</w:t>
      </w:r>
    </w:p>
    <w:p w14:paraId="5DF96146" w14:textId="2CF570A8" w:rsidR="00836FC3" w:rsidRPr="009D0114" w:rsidRDefault="00836FC3" w:rsidP="00242490">
      <w:r w:rsidRPr="00836FC3">
        <w:rPr>
          <w:rStyle w:val="Hyperlink"/>
          <w:color w:val="000000" w:themeColor="text1"/>
          <w:u w:val="none"/>
        </w:rPr>
        <w:t>6</w:t>
      </w:r>
      <w:r w:rsidR="00803C77">
        <w:rPr>
          <w:rStyle w:val="Hyperlink"/>
          <w:color w:val="000000" w:themeColor="text1"/>
          <w:u w:val="none"/>
        </w:rPr>
        <w:t xml:space="preserve"> Visit the </w:t>
      </w:r>
      <w:r w:rsidR="00E90D97">
        <w:rPr>
          <w:rStyle w:val="Hyperlink"/>
          <w:color w:val="000000" w:themeColor="text1"/>
          <w:u w:val="none"/>
        </w:rPr>
        <w:t>displays for USW30: Tangible Things in the</w:t>
      </w:r>
      <w:r w:rsidR="00803C77">
        <w:rPr>
          <w:rStyle w:val="Hyperlink"/>
          <w:color w:val="000000" w:themeColor="text1"/>
          <w:u w:val="none"/>
        </w:rPr>
        <w:t xml:space="preserve"> </w:t>
      </w:r>
      <w:r w:rsidR="00685FA0">
        <w:rPr>
          <w:rFonts w:eastAsia="Times New Roman" w:cs="Times New Roman"/>
        </w:rPr>
        <w:t xml:space="preserve">University </w:t>
      </w:r>
      <w:r>
        <w:rPr>
          <w:rFonts w:eastAsia="Times New Roman" w:cs="Times New Roman"/>
        </w:rPr>
        <w:t xml:space="preserve">Study Gallery, Room 3620, Harvard Art Museums. </w:t>
      </w:r>
    </w:p>
    <w:p w14:paraId="29E672FE" w14:textId="77777777" w:rsidR="00242490" w:rsidRDefault="004E526E" w:rsidP="00030A69">
      <w:pPr>
        <w:rPr>
          <w:rStyle w:val="Hyperlink"/>
          <w:color w:val="auto"/>
          <w:u w:val="none"/>
        </w:rPr>
      </w:pPr>
      <w:r w:rsidRPr="00A2532C">
        <w:rPr>
          <w:rStyle w:val="Hyperlink"/>
          <w:color w:val="auto"/>
          <w:u w:val="none"/>
        </w:rPr>
        <w:tab/>
      </w:r>
    </w:p>
    <w:p w14:paraId="40E59315" w14:textId="19F6D396" w:rsidR="00F843F0" w:rsidRPr="00A2532C" w:rsidRDefault="008C5302" w:rsidP="00030A69">
      <w:r>
        <w:rPr>
          <w:rStyle w:val="Hyperlink"/>
          <w:color w:val="auto"/>
          <w:u w:val="none"/>
        </w:rPr>
        <w:tab/>
      </w:r>
      <w:r w:rsidR="004E526E" w:rsidRPr="00A2532C">
        <w:rPr>
          <w:rStyle w:val="Hyperlink"/>
          <w:color w:val="auto"/>
          <w:u w:val="none"/>
        </w:rPr>
        <w:t>Section 2</w:t>
      </w:r>
      <w:r w:rsidR="00F843F0" w:rsidRPr="00A2532C">
        <w:rPr>
          <w:rStyle w:val="Hyperlink"/>
          <w:color w:val="auto"/>
          <w:u w:val="none"/>
        </w:rPr>
        <w:tab/>
      </w:r>
    </w:p>
    <w:p w14:paraId="7053EE39" w14:textId="67297B21" w:rsidR="008377B9" w:rsidRPr="00A2532C" w:rsidRDefault="008377B9" w:rsidP="00526F81"/>
    <w:p w14:paraId="2BAB1BE2" w14:textId="31E22EA5" w:rsidR="00C93282" w:rsidRPr="00A2532C" w:rsidRDefault="00C93282" w:rsidP="00C93282">
      <w:pPr>
        <w:rPr>
          <w:b/>
        </w:rPr>
      </w:pPr>
      <w:r w:rsidRPr="00A2532C">
        <w:rPr>
          <w:b/>
        </w:rPr>
        <w:t xml:space="preserve">Sept. 25-27 </w:t>
      </w:r>
      <w:r w:rsidR="00FE5259">
        <w:rPr>
          <w:b/>
        </w:rPr>
        <w:t xml:space="preserve">Exhibiting </w:t>
      </w:r>
      <w:r w:rsidR="001C5234">
        <w:rPr>
          <w:b/>
        </w:rPr>
        <w:t>Collections</w:t>
      </w:r>
    </w:p>
    <w:p w14:paraId="7BC36321" w14:textId="2C22BF19" w:rsidR="0072124C" w:rsidRDefault="0072124C" w:rsidP="000C0B22">
      <w:r>
        <w:t>1. View</w:t>
      </w:r>
      <w:r w:rsidR="00FE5259">
        <w:t xml:space="preserve"> video “Time and Time Again”</w:t>
      </w:r>
    </w:p>
    <w:p w14:paraId="6516415D" w14:textId="6E21671D" w:rsidR="0072124C" w:rsidRDefault="0072124C" w:rsidP="000C0B22">
      <w:r>
        <w:t>2</w:t>
      </w:r>
      <w:r w:rsidR="0065661E">
        <w:t xml:space="preserve">. </w:t>
      </w:r>
      <w:r w:rsidR="00F83E5A" w:rsidRPr="00F83E5A">
        <w:t xml:space="preserve">Read </w:t>
      </w:r>
      <w:r w:rsidR="00F83E5A" w:rsidRPr="00F83E5A">
        <w:rPr>
          <w:i/>
        </w:rPr>
        <w:t>Tangible Things</w:t>
      </w:r>
      <w:r w:rsidR="001C5234">
        <w:t>, Ch. 3, “Things Out of Place</w:t>
      </w:r>
      <w:r>
        <w:t>”</w:t>
      </w:r>
      <w:r w:rsidR="004F01A6">
        <w:t xml:space="preserve"> (pp. 115-35)</w:t>
      </w:r>
      <w:r>
        <w:t xml:space="preserve"> </w:t>
      </w:r>
      <w:r w:rsidR="00F83E5A" w:rsidRPr="00F83E5A">
        <w:t>and the accompanying case stud</w:t>
      </w:r>
      <w:r w:rsidR="001C5234">
        <w:t>ies</w:t>
      </w:r>
      <w:r w:rsidR="00F83E5A" w:rsidRPr="00F83E5A">
        <w:t xml:space="preserve">, </w:t>
      </w:r>
      <w:r w:rsidR="004F01A6">
        <w:t>“An Artist’s Palette</w:t>
      </w:r>
      <w:r w:rsidR="00E90D97">
        <w:t>”</w:t>
      </w:r>
      <w:r w:rsidR="004F01A6">
        <w:t xml:space="preserve"> (pp. 135-40)</w:t>
      </w:r>
      <w:r w:rsidR="00E90D97">
        <w:t xml:space="preserve"> and </w:t>
      </w:r>
      <w:r>
        <w:t xml:space="preserve">“A Hand Plow” </w:t>
      </w:r>
      <w:r w:rsidR="004F01A6">
        <w:t>(pp. 148-52).</w:t>
      </w:r>
    </w:p>
    <w:p w14:paraId="3B1F77A3" w14:textId="5F4D8D4D" w:rsidR="007C0AA8" w:rsidRPr="007C0AA8" w:rsidRDefault="00492F1F" w:rsidP="007C0AA8">
      <w:pPr>
        <w:rPr>
          <w:color w:val="000000" w:themeColor="text1"/>
        </w:rPr>
      </w:pPr>
      <w:r>
        <w:rPr>
          <w:color w:val="000000" w:themeColor="text1"/>
        </w:rPr>
        <w:t>3. Optional: explore the catalog for the Time &amp; Time Again exhibit.</w:t>
      </w:r>
    </w:p>
    <w:p w14:paraId="618F7288" w14:textId="77777777" w:rsidR="006316DD" w:rsidRDefault="00F843F0" w:rsidP="00CC3489">
      <w:r w:rsidRPr="00A2532C">
        <w:tab/>
      </w:r>
    </w:p>
    <w:p w14:paraId="2827FF7B" w14:textId="5729AEAF" w:rsidR="000C4821" w:rsidRPr="00A2532C" w:rsidRDefault="00F843F0" w:rsidP="006316DD">
      <w:pPr>
        <w:ind w:firstLine="720"/>
      </w:pPr>
      <w:r w:rsidRPr="00A2532C">
        <w:t xml:space="preserve">Section </w:t>
      </w:r>
      <w:r w:rsidR="004E526E" w:rsidRPr="00A2532C">
        <w:t>3</w:t>
      </w:r>
    </w:p>
    <w:p w14:paraId="70BCE9F2" w14:textId="77777777" w:rsidR="001C5234" w:rsidRDefault="000C4821" w:rsidP="00CC3489">
      <w:r w:rsidRPr="00A2532C">
        <w:tab/>
      </w:r>
    </w:p>
    <w:p w14:paraId="79A27FFC" w14:textId="1A67E586" w:rsidR="007B285B" w:rsidRPr="00A2532C" w:rsidRDefault="000C4821" w:rsidP="00607DF1">
      <w:pPr>
        <w:jc w:val="center"/>
        <w:rPr>
          <w:u w:val="single"/>
        </w:rPr>
      </w:pPr>
      <w:r w:rsidRPr="00A2532C">
        <w:t>F</w:t>
      </w:r>
      <w:r w:rsidR="00CC3489" w:rsidRPr="00A2532C">
        <w:rPr>
          <w:u w:val="single"/>
        </w:rPr>
        <w:t xml:space="preserve">IRST PAPER DUE </w:t>
      </w:r>
      <w:r w:rsidR="00800D29">
        <w:rPr>
          <w:u w:val="single"/>
        </w:rPr>
        <w:t>by 5 p.m. September 29</w:t>
      </w:r>
    </w:p>
    <w:p w14:paraId="1B4463C9" w14:textId="1846B771" w:rsidR="008377B9" w:rsidRPr="00A2532C" w:rsidRDefault="008377B9" w:rsidP="00526F81"/>
    <w:p w14:paraId="042C07DD" w14:textId="1E5DCB56" w:rsidR="007A3580" w:rsidRPr="00A2532C" w:rsidRDefault="005F4B45" w:rsidP="007A3580">
      <w:pPr>
        <w:rPr>
          <w:b/>
        </w:rPr>
      </w:pPr>
      <w:r>
        <w:rPr>
          <w:b/>
        </w:rPr>
        <w:lastRenderedPageBreak/>
        <w:t>Oct. 2</w:t>
      </w:r>
      <w:r w:rsidR="000C4821" w:rsidRPr="00A2532C">
        <w:rPr>
          <w:b/>
        </w:rPr>
        <w:t>-4</w:t>
      </w:r>
      <w:r w:rsidR="00517BC1" w:rsidRPr="00A2532C">
        <w:rPr>
          <w:b/>
        </w:rPr>
        <w:t xml:space="preserve"> </w:t>
      </w:r>
      <w:r w:rsidR="009F7E2B">
        <w:rPr>
          <w:b/>
        </w:rPr>
        <w:t xml:space="preserve"> </w:t>
      </w:r>
      <w:r w:rsidR="007A3580">
        <w:rPr>
          <w:b/>
        </w:rPr>
        <w:t>Wonder and Order</w:t>
      </w:r>
    </w:p>
    <w:p w14:paraId="28366587" w14:textId="77777777" w:rsidR="007A3580" w:rsidRPr="007313C1" w:rsidRDefault="007A3580" w:rsidP="007A3580">
      <w:r w:rsidRPr="007313C1">
        <w:t xml:space="preserve">1. </w:t>
      </w:r>
      <w:r w:rsidRPr="00A2532C">
        <w:t xml:space="preserve">View </w:t>
      </w:r>
      <w:r>
        <w:t xml:space="preserve">video </w:t>
      </w:r>
      <w:r w:rsidRPr="00A2532C">
        <w:t>“</w:t>
      </w:r>
      <w:r>
        <w:t>John Harvard’s Toe</w:t>
      </w:r>
      <w:r w:rsidRPr="00A2532C">
        <w:t>”</w:t>
      </w:r>
      <w:r w:rsidRPr="007313C1">
        <w:t xml:space="preserve"> </w:t>
      </w:r>
    </w:p>
    <w:p w14:paraId="472F8456" w14:textId="6CB7FEB7" w:rsidR="00915AFB" w:rsidRDefault="007A3580" w:rsidP="007A3580">
      <w:r>
        <w:t>2</w:t>
      </w:r>
      <w:r w:rsidRPr="007313C1">
        <w:t xml:space="preserve">. </w:t>
      </w:r>
      <w:r w:rsidR="00915AFB">
        <w:t>Read Tangible Things, Ch. 4, “Things in Stories,” pp. 159-164, and the accompanying case study,</w:t>
      </w:r>
      <w:r w:rsidR="00685FA0">
        <w:t xml:space="preserve"> </w:t>
      </w:r>
      <w:r w:rsidR="00915AFB">
        <w:t>“Transits of Venus,</w:t>
      </w:r>
      <w:r w:rsidR="00685FA0">
        <w:t>”</w:t>
      </w:r>
      <w:r w:rsidR="00915AFB">
        <w:t xml:space="preserve"> pp. 179-186.</w:t>
      </w:r>
    </w:p>
    <w:p w14:paraId="49E1C761" w14:textId="3CDAE60A" w:rsidR="007A3580" w:rsidRDefault="00915AFB" w:rsidP="007A3580">
      <w:r>
        <w:t xml:space="preserve">3.  </w:t>
      </w:r>
      <w:r w:rsidR="007A3580">
        <w:t>Read “Wonder” and “Order”</w:t>
      </w:r>
      <w:r w:rsidR="007A3580" w:rsidRPr="00EE740C">
        <w:t xml:space="preserve"> </w:t>
      </w:r>
      <w:r w:rsidR="007A3580">
        <w:t xml:space="preserve">from </w:t>
      </w:r>
      <w:r w:rsidR="007A3580">
        <w:rPr>
          <w:i/>
        </w:rPr>
        <w:t xml:space="preserve">The Breathless Zoo, </w:t>
      </w:r>
      <w:r w:rsidR="007A3580">
        <w:t>pp. 11-22 and 111-140.</w:t>
      </w:r>
    </w:p>
    <w:p w14:paraId="175BFAF0" w14:textId="0D5D6876" w:rsidR="00915AFB" w:rsidRPr="00A2532C" w:rsidRDefault="00915AFB" w:rsidP="00915AFB">
      <w:r>
        <w:t xml:space="preserve">4. </w:t>
      </w:r>
      <w:r w:rsidRPr="00A2532C">
        <w:t xml:space="preserve">Compare three </w:t>
      </w:r>
      <w:r>
        <w:t xml:space="preserve">short </w:t>
      </w:r>
      <w:r w:rsidRPr="00A2532C">
        <w:t xml:space="preserve">accounts of </w:t>
      </w:r>
      <w:r>
        <w:t>Harvard’s earliest</w:t>
      </w:r>
      <w:r w:rsidRPr="00A2532C">
        <w:t xml:space="preserve"> </w:t>
      </w:r>
      <w:r>
        <w:t>collections:</w:t>
      </w:r>
    </w:p>
    <w:p w14:paraId="3EB68EF2" w14:textId="77777777" w:rsidR="00915AFB" w:rsidRPr="00A2532C" w:rsidRDefault="00915AFB" w:rsidP="00915AFB">
      <w:r w:rsidRPr="00A2532C">
        <w:t xml:space="preserve">    a. </w:t>
      </w:r>
      <w:r>
        <w:t xml:space="preserve"> Entry for October 25, 1750 </w:t>
      </w:r>
      <w:r w:rsidRPr="00A2532C">
        <w:t xml:space="preserve">from </w:t>
      </w:r>
      <w:r w:rsidRPr="00A2532C">
        <w:rPr>
          <w:i/>
        </w:rPr>
        <w:t>The voyage</w:t>
      </w:r>
      <w:r>
        <w:rPr>
          <w:i/>
        </w:rPr>
        <w:t>s and travels of Frances Goelet.</w:t>
      </w:r>
    </w:p>
    <w:p w14:paraId="7C96B7DF" w14:textId="77777777" w:rsidR="00915AFB" w:rsidRPr="00A2532C" w:rsidRDefault="00915AFB" w:rsidP="00915AFB">
      <w:pPr>
        <w:rPr>
          <w:rFonts w:cs="Helvetica"/>
        </w:rPr>
      </w:pPr>
      <w:r w:rsidRPr="00A2532C">
        <w:t xml:space="preserve">    b. “</w:t>
      </w:r>
      <w:r>
        <w:t xml:space="preserve">An Account of the Fire at Harvard College,” </w:t>
      </w:r>
      <w:r w:rsidRPr="00A2532C">
        <w:rPr>
          <w:i/>
        </w:rPr>
        <w:t>Massachusetts Gazette</w:t>
      </w:r>
      <w:r>
        <w:t>, Feb. 2, 1764</w:t>
      </w:r>
      <w:r w:rsidRPr="00A2532C">
        <w:t xml:space="preserve"> </w:t>
      </w:r>
    </w:p>
    <w:p w14:paraId="3D18DDAC" w14:textId="77777777" w:rsidR="00915AFB" w:rsidRDefault="00915AFB" w:rsidP="00915AFB">
      <w:pPr>
        <w:rPr>
          <w:rFonts w:cs="Helvetica"/>
        </w:rPr>
      </w:pPr>
      <w:r w:rsidRPr="00A2532C">
        <w:t xml:space="preserve">    c. “A Visit to Harvard College, 1798,” </w:t>
      </w:r>
      <w:r w:rsidRPr="00A2532C">
        <w:rPr>
          <w:rFonts w:cs="Helvetica"/>
          <w:i/>
        </w:rPr>
        <w:t>New England Quarterly</w:t>
      </w:r>
      <w:r>
        <w:rPr>
          <w:rFonts w:cs="Helvetica"/>
        </w:rPr>
        <w:t>, 34 (1961): 510-514</w:t>
      </w:r>
    </w:p>
    <w:p w14:paraId="07EC181F" w14:textId="04AE798F" w:rsidR="00915AFB" w:rsidRDefault="00915AFB" w:rsidP="00915AFB">
      <w:r>
        <w:t xml:space="preserve">5. Read </w:t>
      </w:r>
      <w:r w:rsidRPr="00A2532C">
        <w:t>Wright, “Creating a Fellowship of Educated Men”; Lord, “Harvard Once Removed”; Minardi, “The Poet and the Petitioner</w:t>
      </w:r>
      <w:r>
        <w:t>,</w:t>
      </w:r>
      <w:r w:rsidRPr="00A2532C">
        <w:t xml:space="preserve">” </w:t>
      </w:r>
      <w:r>
        <w:t xml:space="preserve">in </w:t>
      </w:r>
      <w:r w:rsidRPr="005E7590">
        <w:rPr>
          <w:i/>
        </w:rPr>
        <w:t>Yards and Gates</w:t>
      </w:r>
      <w:r>
        <w:t xml:space="preserve">, </w:t>
      </w:r>
      <w:r w:rsidRPr="00A2532C">
        <w:t>pp. 17-64 [30-107</w:t>
      </w:r>
      <w:r>
        <w:t xml:space="preserve">] </w:t>
      </w:r>
    </w:p>
    <w:p w14:paraId="0766043A" w14:textId="487C3F22" w:rsidR="00915AFB" w:rsidRPr="008C5302" w:rsidRDefault="00915AFB" w:rsidP="00915AFB">
      <w:pPr>
        <w:pStyle w:val="Heading1"/>
        <w:rPr>
          <w:rFonts w:eastAsia="Times New Roman"/>
          <w:b w:val="0"/>
        </w:rPr>
      </w:pPr>
      <w:r>
        <w:rPr>
          <w:b w:val="0"/>
        </w:rPr>
        <w:t xml:space="preserve">6. </w:t>
      </w:r>
      <w:r>
        <w:rPr>
          <w:rStyle w:val="Hyperlink"/>
          <w:b w:val="0"/>
          <w:color w:val="auto"/>
          <w:u w:val="none"/>
        </w:rPr>
        <w:t>Explore “The Philosophy Cabinet,” Third Floor, Harvard Art Museums, Quincy St.</w:t>
      </w:r>
    </w:p>
    <w:p w14:paraId="1DEA70E9" w14:textId="77777777" w:rsidR="001C5234" w:rsidRDefault="001C5234" w:rsidP="00C65B43"/>
    <w:p w14:paraId="270F7625" w14:textId="77777777" w:rsidR="005E7590" w:rsidRPr="00A2532C" w:rsidRDefault="005E7590" w:rsidP="005E7590">
      <w:pPr>
        <w:pStyle w:val="ListParagraph"/>
        <w:tabs>
          <w:tab w:val="left" w:pos="720"/>
        </w:tabs>
        <w:ind w:left="0"/>
        <w:rPr>
          <w:rFonts w:asciiTheme="minorHAnsi" w:hAnsiTheme="minorHAnsi"/>
          <w:szCs w:val="24"/>
        </w:rPr>
      </w:pPr>
      <w:r w:rsidRPr="00A2532C">
        <w:rPr>
          <w:rFonts w:asciiTheme="minorHAnsi" w:hAnsiTheme="minorHAnsi"/>
          <w:szCs w:val="24"/>
        </w:rPr>
        <w:t xml:space="preserve">Section 4 </w:t>
      </w:r>
    </w:p>
    <w:p w14:paraId="68B23C68" w14:textId="77777777" w:rsidR="00FC6AD0" w:rsidRPr="00A2532C" w:rsidRDefault="00FC6AD0" w:rsidP="00517BC1"/>
    <w:p w14:paraId="42E319EE" w14:textId="68F0AA27" w:rsidR="005E7590" w:rsidRPr="00FB43EB" w:rsidRDefault="005E7590" w:rsidP="00144616">
      <w:pPr>
        <w:rPr>
          <w:b/>
        </w:rPr>
      </w:pPr>
      <w:r w:rsidRPr="008D5E63">
        <w:rPr>
          <w:b/>
        </w:rPr>
        <w:t>Oct. 9   Harvard holiday</w:t>
      </w:r>
      <w:r w:rsidR="000B05E7" w:rsidRPr="008D5E63">
        <w:rPr>
          <w:b/>
        </w:rPr>
        <w:t xml:space="preserve">. </w:t>
      </w:r>
      <w:r w:rsidR="00D740A0" w:rsidRPr="008D5E63">
        <w:rPr>
          <w:b/>
        </w:rPr>
        <w:t xml:space="preserve"> No lecture</w:t>
      </w:r>
      <w:r w:rsidR="00FB43EB">
        <w:t xml:space="preserve"> </w:t>
      </w:r>
      <w:r w:rsidR="00FB43EB">
        <w:rPr>
          <w:b/>
        </w:rPr>
        <w:t>or section.</w:t>
      </w:r>
    </w:p>
    <w:p w14:paraId="5BDED395" w14:textId="3A516502" w:rsidR="005E7590" w:rsidRDefault="000C4821" w:rsidP="005E7590">
      <w:pPr>
        <w:rPr>
          <w:b/>
        </w:rPr>
      </w:pPr>
      <w:r w:rsidRPr="00A2532C">
        <w:rPr>
          <w:b/>
        </w:rPr>
        <w:t xml:space="preserve">Oct. </w:t>
      </w:r>
      <w:r w:rsidR="00380F43" w:rsidRPr="00A2532C">
        <w:rPr>
          <w:b/>
        </w:rPr>
        <w:t>1</w:t>
      </w:r>
      <w:r w:rsidR="000B05E7">
        <w:rPr>
          <w:b/>
        </w:rPr>
        <w:t>1</w:t>
      </w:r>
      <w:r w:rsidR="008D5E63">
        <w:rPr>
          <w:b/>
        </w:rPr>
        <w:t>-13</w:t>
      </w:r>
      <w:r w:rsidR="00436CD5">
        <w:rPr>
          <w:b/>
        </w:rPr>
        <w:t xml:space="preserve"> </w:t>
      </w:r>
      <w:r w:rsidR="004E1263">
        <w:rPr>
          <w:b/>
        </w:rPr>
        <w:t>Harvard collection</w:t>
      </w:r>
      <w:r w:rsidR="0072124C">
        <w:rPr>
          <w:b/>
        </w:rPr>
        <w:t xml:space="preserve"> visits</w:t>
      </w:r>
    </w:p>
    <w:p w14:paraId="07DCFC81" w14:textId="23997C4D" w:rsidR="00244C9F" w:rsidRDefault="00244C9F" w:rsidP="00244C9F">
      <w:r>
        <w:t xml:space="preserve">1. </w:t>
      </w:r>
      <w:r w:rsidRPr="00F83E5A">
        <w:t xml:space="preserve">Read </w:t>
      </w:r>
      <w:r>
        <w:t xml:space="preserve">Conn, </w:t>
      </w:r>
      <w:r w:rsidR="000C115F">
        <w:t xml:space="preserve">2, </w:t>
      </w:r>
      <w:r>
        <w:t xml:space="preserve">“Naked Eye Science,” </w:t>
      </w:r>
      <w:r w:rsidRPr="00A2532C">
        <w:t>pp. 32-74</w:t>
      </w:r>
      <w:r>
        <w:t>, and review time-line of Harvard museums.</w:t>
      </w:r>
    </w:p>
    <w:p w14:paraId="6F43841C" w14:textId="65037AD1" w:rsidR="00545DBC" w:rsidRDefault="00244C9F" w:rsidP="004E1263">
      <w:r>
        <w:t xml:space="preserve">2. </w:t>
      </w:r>
      <w:r w:rsidR="004E1263">
        <w:t xml:space="preserve">Participate in </w:t>
      </w:r>
      <w:r w:rsidR="00433489">
        <w:t xml:space="preserve">scheduled </w:t>
      </w:r>
      <w:r w:rsidR="004E1263">
        <w:t>visits to museums and libraries</w:t>
      </w:r>
      <w:r w:rsidR="00433489">
        <w:t>. (See sign-up instructions on course website).</w:t>
      </w:r>
    </w:p>
    <w:p w14:paraId="28DC7274" w14:textId="0A94EF58" w:rsidR="005E7590" w:rsidRPr="00516E93" w:rsidRDefault="00244C9F" w:rsidP="003A6DC1">
      <w:pPr>
        <w:rPr>
          <w:b/>
        </w:rPr>
      </w:pPr>
      <w:r>
        <w:rPr>
          <w:b/>
        </w:rPr>
        <w:t>3</w:t>
      </w:r>
      <w:r w:rsidR="004E1263">
        <w:rPr>
          <w:b/>
        </w:rPr>
        <w:t xml:space="preserve">. Attend </w:t>
      </w:r>
      <w:r w:rsidR="00630583">
        <w:rPr>
          <w:b/>
        </w:rPr>
        <w:t>18</w:t>
      </w:r>
      <w:r w:rsidR="00630583" w:rsidRPr="00630583">
        <w:rPr>
          <w:b/>
        </w:rPr>
        <w:t>th</w:t>
      </w:r>
      <w:r w:rsidR="00630583">
        <w:rPr>
          <w:b/>
          <w:vertAlign w:val="superscript"/>
        </w:rPr>
        <w:t xml:space="preserve"> </w:t>
      </w:r>
      <w:r w:rsidR="00630583">
        <w:rPr>
          <w:b/>
        </w:rPr>
        <w:t xml:space="preserve">century </w:t>
      </w:r>
      <w:r w:rsidR="00545DBC">
        <w:rPr>
          <w:b/>
        </w:rPr>
        <w:t>Electrical D</w:t>
      </w:r>
      <w:r w:rsidR="00532A11" w:rsidRPr="00532A11">
        <w:rPr>
          <w:b/>
        </w:rPr>
        <w:t>emonstration</w:t>
      </w:r>
      <w:r w:rsidR="003A6DC1">
        <w:rPr>
          <w:b/>
        </w:rPr>
        <w:t xml:space="preserve">, </w:t>
      </w:r>
      <w:r w:rsidR="000B05E7" w:rsidRPr="00516E93">
        <w:rPr>
          <w:b/>
        </w:rPr>
        <w:t>Friday, October</w:t>
      </w:r>
      <w:r w:rsidR="00545DBC">
        <w:rPr>
          <w:b/>
        </w:rPr>
        <w:t xml:space="preserve"> </w:t>
      </w:r>
      <w:r w:rsidR="00800D29">
        <w:rPr>
          <w:b/>
        </w:rPr>
        <w:t>13</w:t>
      </w:r>
      <w:r w:rsidR="000B2ABB">
        <w:rPr>
          <w:b/>
        </w:rPr>
        <w:t xml:space="preserve">, </w:t>
      </w:r>
      <w:r w:rsidR="000B05E7" w:rsidRPr="00516E93">
        <w:rPr>
          <w:b/>
        </w:rPr>
        <w:t>2 p.m. in the Science Center</w:t>
      </w:r>
      <w:r w:rsidR="003A6DC1">
        <w:rPr>
          <w:b/>
        </w:rPr>
        <w:t xml:space="preserve"> </w:t>
      </w:r>
      <w:r w:rsidR="00630583">
        <w:rPr>
          <w:b/>
        </w:rPr>
        <w:t>Hall D.</w:t>
      </w:r>
    </w:p>
    <w:p w14:paraId="2DF0043C" w14:textId="77777777" w:rsidR="00242490" w:rsidRPr="00A2532C" w:rsidRDefault="00242490" w:rsidP="00144616"/>
    <w:p w14:paraId="0535CF9F" w14:textId="7D74F472" w:rsidR="00D868E7" w:rsidRDefault="000C4821" w:rsidP="00D868E7">
      <w:pPr>
        <w:rPr>
          <w:b/>
        </w:rPr>
      </w:pPr>
      <w:r w:rsidRPr="00A2532C">
        <w:rPr>
          <w:b/>
        </w:rPr>
        <w:t xml:space="preserve">Oct. </w:t>
      </w:r>
      <w:r w:rsidR="00720EE4" w:rsidRPr="00A2532C">
        <w:rPr>
          <w:b/>
        </w:rPr>
        <w:t xml:space="preserve">16-18 </w:t>
      </w:r>
      <w:r w:rsidR="00433489">
        <w:rPr>
          <w:b/>
        </w:rPr>
        <w:t xml:space="preserve">Racial Science </w:t>
      </w:r>
    </w:p>
    <w:p w14:paraId="4A21B23E" w14:textId="77777777" w:rsidR="00D43D9C" w:rsidRDefault="00D43D9C" w:rsidP="00DF4E77">
      <w:r>
        <w:t>1. View “Hidden in Plain Sight” and “A Tool Out of Place”</w:t>
      </w:r>
    </w:p>
    <w:p w14:paraId="45E93CBB" w14:textId="049E691E" w:rsidR="00DF4E77" w:rsidRPr="00A2532C" w:rsidRDefault="00D43D9C" w:rsidP="00DF4E77">
      <w:r>
        <w:t>2</w:t>
      </w:r>
      <w:r w:rsidR="00D740A0">
        <w:t xml:space="preserve">. Read </w:t>
      </w:r>
      <w:r w:rsidR="00DF4E77" w:rsidRPr="00A2532C">
        <w:t xml:space="preserve">Conn, Chap. </w:t>
      </w:r>
      <w:r w:rsidR="004E1263">
        <w:t>3, “Between Science and Art,” pp. 75-113.</w:t>
      </w:r>
    </w:p>
    <w:p w14:paraId="03CD4559" w14:textId="66D184E2" w:rsidR="00244C9F" w:rsidRPr="00A2532C" w:rsidRDefault="00D43D9C" w:rsidP="00244C9F">
      <w:pPr>
        <w:rPr>
          <w:rFonts w:cs="Verdana"/>
          <w:bCs/>
          <w:iCs/>
        </w:rPr>
      </w:pPr>
      <w:r>
        <w:t>3</w:t>
      </w:r>
      <w:r w:rsidR="00244C9F" w:rsidRPr="00A2532C">
        <w:t xml:space="preserve">. </w:t>
      </w:r>
      <w:r w:rsidR="00244C9F">
        <w:t xml:space="preserve">Read </w:t>
      </w:r>
      <w:r w:rsidR="00244C9F" w:rsidRPr="00A2532C">
        <w:rPr>
          <w:rFonts w:cs="Helvetica"/>
        </w:rPr>
        <w:t xml:space="preserve">Brian Wallis, “Black Bodies, White Science: Louis Agassiz’s Slave Daguerreotypes,” </w:t>
      </w:r>
      <w:r w:rsidR="00244C9F" w:rsidRPr="00A2532C">
        <w:rPr>
          <w:rFonts w:cs="Helvetica"/>
          <w:i/>
        </w:rPr>
        <w:t>American Art</w:t>
      </w:r>
      <w:r w:rsidR="00244C9F" w:rsidRPr="00A2532C">
        <w:rPr>
          <w:rFonts w:cs="Helvetica"/>
        </w:rPr>
        <w:t xml:space="preserve">, Vol. 9, No. 2 (Summer, 1995), pp. 38-61. </w:t>
      </w:r>
    </w:p>
    <w:p w14:paraId="2F1F5250" w14:textId="53613F05" w:rsidR="00D65CAE" w:rsidRDefault="00D43D9C" w:rsidP="00244C9F">
      <w:r>
        <w:t>4</w:t>
      </w:r>
      <w:r w:rsidR="00244C9F">
        <w:t xml:space="preserve">. </w:t>
      </w:r>
      <w:r w:rsidR="00D65CAE">
        <w:t xml:space="preserve">Read </w:t>
      </w:r>
      <w:r w:rsidR="00D65CAE" w:rsidRPr="00A2532C">
        <w:rPr>
          <w:rStyle w:val="Hyperlink"/>
          <w:color w:val="auto"/>
          <w:u w:val="none"/>
        </w:rPr>
        <w:t>Elliott West, “Reconstructing Race,”</w:t>
      </w:r>
      <w:r w:rsidR="00D65CAE" w:rsidRPr="00A2532C">
        <w:rPr>
          <w:rStyle w:val="Hyperlink"/>
          <w:i/>
          <w:color w:val="auto"/>
          <w:u w:val="none"/>
        </w:rPr>
        <w:t xml:space="preserve"> Western Historical Quarterly, </w:t>
      </w:r>
      <w:r w:rsidR="00D65CAE" w:rsidRPr="00A2532C">
        <w:rPr>
          <w:rStyle w:val="Hyperlink"/>
          <w:color w:val="auto"/>
          <w:u w:val="none"/>
        </w:rPr>
        <w:t>34 (2003): 6-16</w:t>
      </w:r>
      <w:r w:rsidR="00D65CAE" w:rsidRPr="00A2532C">
        <w:t xml:space="preserve">. </w:t>
      </w:r>
    </w:p>
    <w:p w14:paraId="66935572" w14:textId="248084BC" w:rsidR="000B2ABB" w:rsidRDefault="00A46020" w:rsidP="000B2ABB">
      <w:pPr>
        <w:tabs>
          <w:tab w:val="left" w:pos="900"/>
        </w:tabs>
      </w:pPr>
      <w:r>
        <w:t xml:space="preserve">5. </w:t>
      </w:r>
      <w:r w:rsidR="000B2ABB">
        <w:t>Visit “All the World is Here,” Peabody Museum.</w:t>
      </w:r>
    </w:p>
    <w:p w14:paraId="429F30B4" w14:textId="701C43E7" w:rsidR="000B2ABB" w:rsidRDefault="000B2ABB" w:rsidP="00D65CAE"/>
    <w:p w14:paraId="3B002EB4" w14:textId="3D12611D" w:rsidR="00F843F0" w:rsidRPr="00A46020" w:rsidRDefault="001F058C" w:rsidP="00517BC1">
      <w:pPr>
        <w:rPr>
          <w:u w:val="single"/>
        </w:rPr>
      </w:pPr>
      <w:r w:rsidRPr="00A2532C">
        <w:tab/>
      </w:r>
      <w:r w:rsidR="00F843F0" w:rsidRPr="00A2532C">
        <w:t xml:space="preserve">Section </w:t>
      </w:r>
      <w:r w:rsidR="00C12588" w:rsidRPr="00A2532C">
        <w:t>5</w:t>
      </w:r>
      <w:r w:rsidR="00A46020">
        <w:t xml:space="preserve">  </w:t>
      </w:r>
      <w:r w:rsidR="00A46020">
        <w:rPr>
          <w:u w:val="single"/>
        </w:rPr>
        <w:t>PROJECT TOPICS AND APPLICATIONS FOR EXHIBIT TEAM DUE</w:t>
      </w:r>
    </w:p>
    <w:p w14:paraId="515F13A5" w14:textId="77777777" w:rsidR="00001C95" w:rsidRPr="00A2532C" w:rsidRDefault="00001C95" w:rsidP="00001C95">
      <w:pPr>
        <w:tabs>
          <w:tab w:val="left" w:pos="900"/>
        </w:tabs>
        <w:rPr>
          <w:rFonts w:cs="Helvetica"/>
        </w:rPr>
      </w:pPr>
    </w:p>
    <w:p w14:paraId="283EE029" w14:textId="52BDD305" w:rsidR="00691D16" w:rsidRPr="00A2532C" w:rsidRDefault="00720EE4" w:rsidP="00691D16">
      <w:pPr>
        <w:tabs>
          <w:tab w:val="left" w:pos="900"/>
        </w:tabs>
        <w:rPr>
          <w:rFonts w:cs="Helvetica"/>
          <w:b/>
        </w:rPr>
      </w:pPr>
      <w:r w:rsidRPr="00A2532C">
        <w:rPr>
          <w:rFonts w:cs="Helvetica"/>
          <w:b/>
        </w:rPr>
        <w:t xml:space="preserve">Oct. 23-25 </w:t>
      </w:r>
      <w:r w:rsidR="003B2790">
        <w:rPr>
          <w:rFonts w:cs="Helvetica"/>
          <w:b/>
        </w:rPr>
        <w:t>Harvard Men, Radcliffe Women</w:t>
      </w:r>
    </w:p>
    <w:p w14:paraId="694890C9" w14:textId="6B977F8E" w:rsidR="003B2790" w:rsidRDefault="00785D03" w:rsidP="00691D16">
      <w:pPr>
        <w:rPr>
          <w:rStyle w:val="Hyperlink"/>
          <w:color w:val="auto"/>
          <w:u w:val="none"/>
        </w:rPr>
      </w:pPr>
      <w:r>
        <w:rPr>
          <w:rStyle w:val="Hyperlink"/>
          <w:color w:val="auto"/>
          <w:u w:val="none"/>
        </w:rPr>
        <w:t>1</w:t>
      </w:r>
      <w:r w:rsidR="003B2790">
        <w:rPr>
          <w:rStyle w:val="Hyperlink"/>
          <w:color w:val="auto"/>
          <w:u w:val="none"/>
        </w:rPr>
        <w:t>.</w:t>
      </w:r>
      <w:r w:rsidR="000B2ABB">
        <w:rPr>
          <w:rStyle w:val="Hyperlink"/>
          <w:color w:val="auto"/>
          <w:u w:val="none"/>
        </w:rPr>
        <w:t xml:space="preserve"> Read e</w:t>
      </w:r>
      <w:r w:rsidR="003B2790" w:rsidRPr="00A2532C">
        <w:rPr>
          <w:rStyle w:val="Hyperlink"/>
          <w:color w:val="auto"/>
          <w:u w:val="none"/>
        </w:rPr>
        <w:t xml:space="preserve">ssays from </w:t>
      </w:r>
      <w:r w:rsidR="003B2790" w:rsidRPr="00A2532C">
        <w:rPr>
          <w:rStyle w:val="Hyperlink"/>
          <w:i/>
          <w:color w:val="auto"/>
          <w:u w:val="none"/>
        </w:rPr>
        <w:t>Yards and Gates</w:t>
      </w:r>
      <w:r w:rsidR="003B2790" w:rsidRPr="00A2532C">
        <w:rPr>
          <w:rStyle w:val="Hyperlink"/>
          <w:color w:val="auto"/>
          <w:u w:val="none"/>
        </w:rPr>
        <w:t xml:space="preserve">, pp. </w:t>
      </w:r>
      <w:r w:rsidR="00A46020">
        <w:rPr>
          <w:rStyle w:val="Hyperlink"/>
          <w:color w:val="auto"/>
          <w:u w:val="none"/>
        </w:rPr>
        <w:t>79</w:t>
      </w:r>
      <w:r w:rsidR="003B2790" w:rsidRPr="00A2532C">
        <w:rPr>
          <w:rStyle w:val="Hyperlink"/>
          <w:color w:val="auto"/>
          <w:u w:val="none"/>
        </w:rPr>
        <w:t>-156 [140-257]</w:t>
      </w:r>
      <w:r w:rsidR="00630583">
        <w:rPr>
          <w:rStyle w:val="Hyperlink"/>
          <w:color w:val="auto"/>
          <w:u w:val="none"/>
        </w:rPr>
        <w:t>:</w:t>
      </w:r>
      <w:r w:rsidR="003B2790" w:rsidRPr="00630583">
        <w:rPr>
          <w:rStyle w:val="Hyperlink"/>
          <w:u w:val="none"/>
        </w:rPr>
        <w:t xml:space="preserve"> </w:t>
      </w:r>
      <w:r w:rsidR="00A46020" w:rsidRPr="00A46020">
        <w:rPr>
          <w:rStyle w:val="Hyperlink"/>
          <w:color w:val="auto"/>
          <w:u w:val="none"/>
        </w:rPr>
        <w:t>Sullivan, “Taming Undergraduate Passions</w:t>
      </w:r>
      <w:r w:rsidR="00630583">
        <w:rPr>
          <w:rStyle w:val="Hyperlink"/>
          <w:color w:val="auto"/>
          <w:u w:val="none"/>
        </w:rPr>
        <w:t>”;</w:t>
      </w:r>
      <w:r w:rsidR="00A46020" w:rsidRPr="00A46020">
        <w:rPr>
          <w:rStyle w:val="Hyperlink"/>
          <w:color w:val="auto"/>
          <w:u w:val="none"/>
        </w:rPr>
        <w:t xml:space="preserve"> </w:t>
      </w:r>
      <w:r w:rsidR="003B2790" w:rsidRPr="00A46020">
        <w:rPr>
          <w:rStyle w:val="Hyperlink"/>
          <w:color w:val="auto"/>
          <w:u w:val="none"/>
        </w:rPr>
        <w:t>Schwager, “Taking Up the Challenge”;</w:t>
      </w:r>
      <w:r w:rsidR="003B2790" w:rsidRPr="00A46020">
        <w:rPr>
          <w:rStyle w:val="Hyperlink"/>
          <w:color w:val="auto"/>
        </w:rPr>
        <w:t xml:space="preserve"> </w:t>
      </w:r>
      <w:r w:rsidR="003B2790" w:rsidRPr="00A46020">
        <w:rPr>
          <w:rStyle w:val="Hyperlink"/>
          <w:color w:val="auto"/>
          <w:u w:val="none"/>
        </w:rPr>
        <w:t>H</w:t>
      </w:r>
      <w:r w:rsidR="003B2790" w:rsidRPr="00A2532C">
        <w:rPr>
          <w:rStyle w:val="Hyperlink"/>
          <w:color w:val="auto"/>
          <w:u w:val="none"/>
        </w:rPr>
        <w:t>oganson, “Harvard Men”; Horowitz, “The Great Debate”; Gloria Bruce, “Radcliffe Women at Play”; Karen Lepri, “Clothes Make the Man”</w:t>
      </w:r>
    </w:p>
    <w:p w14:paraId="37C17D71" w14:textId="3CD35A70" w:rsidR="00433489" w:rsidRPr="003C2D1E" w:rsidRDefault="00785D03" w:rsidP="00433489">
      <w:pPr>
        <w:tabs>
          <w:tab w:val="left" w:pos="900"/>
        </w:tabs>
      </w:pPr>
      <w:r>
        <w:t>2</w:t>
      </w:r>
      <w:r w:rsidR="00433489">
        <w:t xml:space="preserve">. Read </w:t>
      </w:r>
      <w:r w:rsidR="00433489" w:rsidRPr="003C2D1E">
        <w:t xml:space="preserve">E.C. [Elizabeth Agassiz], “A Cruise Through the Galapagos,” </w:t>
      </w:r>
    </w:p>
    <w:p w14:paraId="14F63950" w14:textId="2E0557AF" w:rsidR="00433489" w:rsidRDefault="00433489" w:rsidP="00433489">
      <w:pPr>
        <w:widowControl w:val="0"/>
        <w:autoSpaceDE w:val="0"/>
        <w:autoSpaceDN w:val="0"/>
        <w:adjustRightInd w:val="0"/>
        <w:rPr>
          <w:rFonts w:cs="Arial"/>
          <w:color w:val="1A1A1A"/>
        </w:rPr>
      </w:pPr>
      <w:r w:rsidRPr="003C2D1E">
        <w:rPr>
          <w:rFonts w:cs="Arial"/>
          <w:b/>
          <w:bCs/>
          <w:i/>
          <w:color w:val="262626"/>
        </w:rPr>
        <w:t> </w:t>
      </w:r>
      <w:r w:rsidRPr="003C2D1E">
        <w:rPr>
          <w:rFonts w:cs="Arial"/>
          <w:i/>
          <w:color w:val="1A1A1A"/>
        </w:rPr>
        <w:t>The Atlantic Monthly</w:t>
      </w:r>
      <w:r w:rsidRPr="003C2D1E">
        <w:rPr>
          <w:rFonts w:cs="Arial"/>
          <w:color w:val="1A1A1A"/>
        </w:rPr>
        <w:t>.  31 (May 1873):</w:t>
      </w:r>
      <w:r w:rsidR="00630583">
        <w:rPr>
          <w:rFonts w:cs="Arial"/>
          <w:color w:val="1A1A1A"/>
        </w:rPr>
        <w:t xml:space="preserve"> </w:t>
      </w:r>
      <w:r w:rsidRPr="003C2D1E">
        <w:rPr>
          <w:rFonts w:cs="Arial"/>
          <w:color w:val="1A1A1A"/>
        </w:rPr>
        <w:t>579-585</w:t>
      </w:r>
    </w:p>
    <w:p w14:paraId="2459275A" w14:textId="33EF5804" w:rsidR="00A46020" w:rsidRDefault="00A46020" w:rsidP="00691D16">
      <w:pPr>
        <w:pStyle w:val="ListParagraph"/>
        <w:tabs>
          <w:tab w:val="left" w:pos="990"/>
        </w:tabs>
        <w:ind w:left="0"/>
        <w:rPr>
          <w:rFonts w:asciiTheme="minorHAnsi" w:eastAsiaTheme="minorEastAsia" w:hAnsiTheme="minorHAnsi" w:cstheme="minorBidi"/>
          <w:noProof w:val="0"/>
          <w:szCs w:val="24"/>
        </w:rPr>
      </w:pPr>
      <w:r>
        <w:rPr>
          <w:rFonts w:asciiTheme="minorHAnsi" w:eastAsiaTheme="minorEastAsia" w:hAnsiTheme="minorHAnsi" w:cstheme="minorBidi"/>
          <w:noProof w:val="0"/>
          <w:szCs w:val="24"/>
        </w:rPr>
        <w:t xml:space="preserve">3. Read “A Field Hockey Dress” and a “Tin Bluebird,” from </w:t>
      </w:r>
      <w:r w:rsidRPr="00A46020">
        <w:rPr>
          <w:rFonts w:asciiTheme="minorHAnsi" w:eastAsiaTheme="minorEastAsia" w:hAnsiTheme="minorHAnsi" w:cstheme="minorBidi"/>
          <w:i/>
          <w:noProof w:val="0"/>
          <w:szCs w:val="24"/>
        </w:rPr>
        <w:t>Tangible Things</w:t>
      </w:r>
      <w:r>
        <w:rPr>
          <w:rFonts w:asciiTheme="minorHAnsi" w:eastAsiaTheme="minorEastAsia" w:hAnsiTheme="minorHAnsi" w:cstheme="minorBidi"/>
          <w:noProof w:val="0"/>
          <w:szCs w:val="24"/>
        </w:rPr>
        <w:t>, 64-70, 141-148.</w:t>
      </w:r>
    </w:p>
    <w:p w14:paraId="1B9CFF0C" w14:textId="30CFE870" w:rsidR="00691D16" w:rsidRPr="00A2532C" w:rsidRDefault="00A46020" w:rsidP="00691D16">
      <w:pPr>
        <w:pStyle w:val="ListParagraph"/>
        <w:tabs>
          <w:tab w:val="left" w:pos="990"/>
        </w:tabs>
        <w:ind w:left="0"/>
        <w:rPr>
          <w:rFonts w:asciiTheme="minorHAnsi" w:hAnsiTheme="minorHAnsi" w:cs="Lucida Grande"/>
          <w:szCs w:val="24"/>
        </w:rPr>
      </w:pPr>
      <w:r>
        <w:rPr>
          <w:rFonts w:asciiTheme="minorHAnsi" w:eastAsiaTheme="minorEastAsia" w:hAnsiTheme="minorHAnsi" w:cstheme="minorBidi"/>
          <w:noProof w:val="0"/>
          <w:szCs w:val="24"/>
        </w:rPr>
        <w:t>4.</w:t>
      </w:r>
      <w:r w:rsidR="00691D16" w:rsidRPr="00A2532C">
        <w:rPr>
          <w:rFonts w:asciiTheme="minorHAnsi" w:eastAsiaTheme="minorEastAsia" w:hAnsiTheme="minorHAnsi" w:cstheme="minorBidi"/>
          <w:noProof w:val="0"/>
          <w:szCs w:val="24"/>
        </w:rPr>
        <w:t xml:space="preserve"> </w:t>
      </w:r>
      <w:r w:rsidR="003B2790">
        <w:rPr>
          <w:rFonts w:asciiTheme="minorHAnsi" w:eastAsiaTheme="minorEastAsia" w:hAnsiTheme="minorHAnsi" w:cstheme="minorBidi"/>
          <w:noProof w:val="0"/>
          <w:szCs w:val="24"/>
        </w:rPr>
        <w:t xml:space="preserve">Read </w:t>
      </w:r>
      <w:r w:rsidR="00691D16" w:rsidRPr="00A2532C">
        <w:rPr>
          <w:rFonts w:asciiTheme="minorHAnsi" w:hAnsiTheme="minorHAnsi" w:cs="Lucida Grande"/>
          <w:szCs w:val="24"/>
        </w:rPr>
        <w:t xml:space="preserve">David Wallace Adams, “More than a Game: The Carlisle Indians Take to the </w:t>
      </w:r>
    </w:p>
    <w:p w14:paraId="02422D45" w14:textId="448B692C" w:rsidR="00691D16" w:rsidRPr="00A2532C" w:rsidRDefault="00691D16" w:rsidP="00691D16">
      <w:pPr>
        <w:pStyle w:val="ListParagraph"/>
        <w:tabs>
          <w:tab w:val="left" w:pos="720"/>
        </w:tabs>
        <w:ind w:left="0"/>
        <w:rPr>
          <w:rFonts w:asciiTheme="minorHAnsi" w:hAnsiTheme="minorHAnsi" w:cs="Lucida Grande"/>
          <w:szCs w:val="24"/>
        </w:rPr>
      </w:pPr>
      <w:r w:rsidRPr="00A2532C">
        <w:rPr>
          <w:rFonts w:asciiTheme="minorHAnsi" w:hAnsiTheme="minorHAnsi" w:cs="Lucida Grande"/>
          <w:szCs w:val="24"/>
        </w:rPr>
        <w:lastRenderedPageBreak/>
        <w:t xml:space="preserve">Gridiron, 1893-1917,” </w:t>
      </w:r>
      <w:r w:rsidRPr="00A2532C">
        <w:rPr>
          <w:rFonts w:asciiTheme="minorHAnsi" w:hAnsiTheme="minorHAnsi" w:cs="Lucida Grande"/>
          <w:i/>
          <w:szCs w:val="24"/>
        </w:rPr>
        <w:t xml:space="preserve">Western Historical </w:t>
      </w:r>
      <w:r w:rsidRPr="00A2532C">
        <w:rPr>
          <w:rFonts w:asciiTheme="minorHAnsi" w:hAnsiTheme="minorHAnsi" w:cs="Lucida Grande"/>
          <w:szCs w:val="24"/>
        </w:rPr>
        <w:t>Quarterly. 32 (2001): 25-53</w:t>
      </w:r>
    </w:p>
    <w:p w14:paraId="11A3646C" w14:textId="3CFACDC0" w:rsidR="00A43D19" w:rsidRPr="00A2532C" w:rsidRDefault="00F843F0" w:rsidP="00691D16">
      <w:pPr>
        <w:pStyle w:val="ListParagraph"/>
        <w:tabs>
          <w:tab w:val="left" w:pos="720"/>
        </w:tabs>
        <w:ind w:left="0"/>
        <w:rPr>
          <w:rFonts w:asciiTheme="minorHAnsi" w:hAnsiTheme="minorHAnsi" w:cs="Lucida Grande"/>
          <w:szCs w:val="24"/>
        </w:rPr>
      </w:pPr>
      <w:r w:rsidRPr="00A2532C">
        <w:rPr>
          <w:rFonts w:asciiTheme="minorHAnsi" w:hAnsiTheme="minorHAnsi" w:cs="Lucida Grande"/>
          <w:szCs w:val="24"/>
        </w:rPr>
        <w:tab/>
      </w:r>
    </w:p>
    <w:p w14:paraId="6AA2C608" w14:textId="5B5EDA9A" w:rsidR="00F843F0" w:rsidRDefault="00A43D19" w:rsidP="00691D16">
      <w:pPr>
        <w:pStyle w:val="ListParagraph"/>
        <w:tabs>
          <w:tab w:val="left" w:pos="720"/>
        </w:tabs>
        <w:ind w:left="0"/>
        <w:rPr>
          <w:rFonts w:asciiTheme="minorHAnsi" w:hAnsiTheme="minorHAnsi" w:cs="Lucida Grande"/>
          <w:szCs w:val="24"/>
        </w:rPr>
      </w:pPr>
      <w:r w:rsidRPr="00A2532C">
        <w:rPr>
          <w:rFonts w:asciiTheme="minorHAnsi" w:hAnsiTheme="minorHAnsi" w:cs="Lucida Grande"/>
          <w:szCs w:val="24"/>
        </w:rPr>
        <w:tab/>
      </w:r>
      <w:r w:rsidR="00C12588" w:rsidRPr="00A2532C">
        <w:rPr>
          <w:rFonts w:asciiTheme="minorHAnsi" w:hAnsiTheme="minorHAnsi" w:cs="Lucida Grande"/>
          <w:szCs w:val="24"/>
        </w:rPr>
        <w:t>Section 6</w:t>
      </w:r>
    </w:p>
    <w:p w14:paraId="45015CB2" w14:textId="77777777" w:rsidR="00433489" w:rsidRPr="00A2532C" w:rsidRDefault="00433489" w:rsidP="00691D16">
      <w:pPr>
        <w:pStyle w:val="ListParagraph"/>
        <w:tabs>
          <w:tab w:val="left" w:pos="720"/>
        </w:tabs>
        <w:ind w:left="0"/>
        <w:rPr>
          <w:rFonts w:asciiTheme="minorHAnsi" w:hAnsiTheme="minorHAnsi" w:cs="Lucida Grande"/>
          <w:szCs w:val="24"/>
        </w:rPr>
      </w:pPr>
    </w:p>
    <w:p w14:paraId="477EA6D9" w14:textId="7F5C7D18" w:rsidR="00720EE4" w:rsidRPr="00A2532C" w:rsidRDefault="00720EE4" w:rsidP="00691D16">
      <w:pPr>
        <w:pStyle w:val="ListParagraph"/>
        <w:tabs>
          <w:tab w:val="left" w:pos="720"/>
        </w:tabs>
        <w:ind w:left="0"/>
        <w:rPr>
          <w:rFonts w:asciiTheme="minorHAnsi" w:hAnsiTheme="minorHAnsi" w:cs="Lucida Grande"/>
          <w:szCs w:val="24"/>
        </w:rPr>
      </w:pPr>
      <w:r w:rsidRPr="00A2532C">
        <w:rPr>
          <w:rFonts w:asciiTheme="minorHAnsi" w:hAnsiTheme="minorHAnsi" w:cs="Lucida Grande"/>
          <w:szCs w:val="24"/>
        </w:rPr>
        <w:tab/>
      </w:r>
      <w:r w:rsidRPr="00A2532C">
        <w:rPr>
          <w:rFonts w:asciiTheme="minorHAnsi" w:hAnsiTheme="minorHAnsi" w:cs="Lucida Grande"/>
          <w:szCs w:val="24"/>
          <w:u w:val="single"/>
        </w:rPr>
        <w:t xml:space="preserve">SECOND </w:t>
      </w:r>
      <w:r w:rsidRPr="00A2532C">
        <w:rPr>
          <w:rFonts w:asciiTheme="minorHAnsi" w:hAnsiTheme="minorHAnsi"/>
          <w:szCs w:val="24"/>
          <w:u w:val="single"/>
        </w:rPr>
        <w:t xml:space="preserve">PAPER DUE </w:t>
      </w:r>
    </w:p>
    <w:p w14:paraId="4D34B832" w14:textId="77777777" w:rsidR="007005C0" w:rsidRPr="00A2532C" w:rsidRDefault="007005C0" w:rsidP="00001C95">
      <w:pPr>
        <w:tabs>
          <w:tab w:val="left" w:pos="900"/>
        </w:tabs>
        <w:rPr>
          <w:rFonts w:cs="Helvetica"/>
        </w:rPr>
      </w:pPr>
    </w:p>
    <w:p w14:paraId="36B0EA82" w14:textId="0923FF35" w:rsidR="00691D16" w:rsidRPr="00A2532C" w:rsidRDefault="00720EE4" w:rsidP="00691D16">
      <w:pPr>
        <w:tabs>
          <w:tab w:val="left" w:pos="900"/>
        </w:tabs>
        <w:rPr>
          <w:rFonts w:cs="Helvetica"/>
          <w:b/>
        </w:rPr>
      </w:pPr>
      <w:r w:rsidRPr="00A2532C">
        <w:rPr>
          <w:rFonts w:cs="Helvetica"/>
          <w:b/>
        </w:rPr>
        <w:t xml:space="preserve">Oct. 30-Nov. 1 </w:t>
      </w:r>
      <w:r w:rsidR="003B2790">
        <w:rPr>
          <w:rFonts w:cs="Helvetica"/>
          <w:b/>
        </w:rPr>
        <w:t>Imperialism and Commerce</w:t>
      </w:r>
    </w:p>
    <w:p w14:paraId="5EDEF2F6" w14:textId="77777777" w:rsidR="003B2790" w:rsidRPr="00A2532C" w:rsidRDefault="003B2790" w:rsidP="003B2790">
      <w:pPr>
        <w:tabs>
          <w:tab w:val="left" w:pos="900"/>
        </w:tabs>
        <w:rPr>
          <w:rFonts w:cs="Helvetica"/>
        </w:rPr>
      </w:pPr>
      <w:r w:rsidRPr="00A2532C">
        <w:rPr>
          <w:rFonts w:cs="Helvetica"/>
        </w:rPr>
        <w:t>1. View: “A Museum in a Box”</w:t>
      </w:r>
    </w:p>
    <w:p w14:paraId="2A1BC0D4" w14:textId="77777777" w:rsidR="003B2790" w:rsidRDefault="003B2790" w:rsidP="003B2790">
      <w:pPr>
        <w:tabs>
          <w:tab w:val="left" w:pos="900"/>
        </w:tabs>
        <w:rPr>
          <w:rFonts w:cs="Helvetica"/>
        </w:rPr>
      </w:pPr>
      <w:r w:rsidRPr="00A2532C">
        <w:rPr>
          <w:rFonts w:cs="Helvetica"/>
        </w:rPr>
        <w:t>2. Read Conn, Chap. 4, pp. 115-150.</w:t>
      </w:r>
    </w:p>
    <w:p w14:paraId="05C1495B" w14:textId="450243AF" w:rsidR="003B2790" w:rsidRDefault="003B2790" w:rsidP="003B2790">
      <w:pPr>
        <w:tabs>
          <w:tab w:val="left" w:pos="900"/>
        </w:tabs>
        <w:rPr>
          <w:rStyle w:val="Hyperlink"/>
          <w:color w:val="auto"/>
          <w:u w:val="none"/>
        </w:rPr>
      </w:pPr>
      <w:r>
        <w:rPr>
          <w:rStyle w:val="Hyperlink"/>
          <w:color w:val="auto"/>
          <w:u w:val="none"/>
        </w:rPr>
        <w:t xml:space="preserve">3. Read Rachel Poliquin, “Spectacle” in </w:t>
      </w:r>
      <w:r w:rsidRPr="00E136CA">
        <w:rPr>
          <w:rStyle w:val="Hyperlink"/>
          <w:i/>
          <w:color w:val="auto"/>
          <w:u w:val="none"/>
        </w:rPr>
        <w:t>The Breathless Zoo</w:t>
      </w:r>
      <w:r>
        <w:rPr>
          <w:rStyle w:val="Hyperlink"/>
          <w:color w:val="auto"/>
          <w:u w:val="none"/>
        </w:rPr>
        <w:t>, pp. 77-110</w:t>
      </w:r>
    </w:p>
    <w:p w14:paraId="00106DC5" w14:textId="3FBCCFE0" w:rsidR="00A46020" w:rsidRDefault="00A46020" w:rsidP="003B2790">
      <w:pPr>
        <w:tabs>
          <w:tab w:val="left" w:pos="900"/>
        </w:tabs>
        <w:rPr>
          <w:rStyle w:val="Hyperlink"/>
          <w:color w:val="auto"/>
          <w:u w:val="none"/>
        </w:rPr>
      </w:pPr>
      <w:r>
        <w:rPr>
          <w:rStyle w:val="Hyperlink"/>
          <w:color w:val="auto"/>
          <w:u w:val="none"/>
        </w:rPr>
        <w:t xml:space="preserve">4. Read “An Orchid,” “A Mexican Tortilla, and “A Beetle Ornament,” in </w:t>
      </w:r>
      <w:r w:rsidRPr="00A46020">
        <w:rPr>
          <w:rStyle w:val="Hyperlink"/>
          <w:i/>
          <w:color w:val="auto"/>
          <w:u w:val="none"/>
        </w:rPr>
        <w:t>Tangible Things</w:t>
      </w:r>
      <w:r>
        <w:rPr>
          <w:rStyle w:val="Hyperlink"/>
          <w:color w:val="auto"/>
          <w:u w:val="none"/>
        </w:rPr>
        <w:t>, pp. 38-45, 103-108.</w:t>
      </w:r>
    </w:p>
    <w:p w14:paraId="10897723" w14:textId="77777777" w:rsidR="003B2790" w:rsidRPr="00A2532C" w:rsidRDefault="003B2790" w:rsidP="00001C95">
      <w:pPr>
        <w:tabs>
          <w:tab w:val="left" w:pos="900"/>
        </w:tabs>
        <w:rPr>
          <w:rFonts w:cs="Helvetica"/>
          <w:b/>
        </w:rPr>
      </w:pPr>
    </w:p>
    <w:p w14:paraId="60F52CAC" w14:textId="2A080BE3" w:rsidR="00C12588" w:rsidRDefault="00C12588" w:rsidP="00001C95">
      <w:pPr>
        <w:tabs>
          <w:tab w:val="left" w:pos="900"/>
        </w:tabs>
        <w:rPr>
          <w:rFonts w:cs="Helvetica"/>
        </w:rPr>
      </w:pPr>
      <w:r w:rsidRPr="00A2532C">
        <w:rPr>
          <w:rFonts w:cs="Helvetica"/>
          <w:b/>
        </w:rPr>
        <w:tab/>
      </w:r>
      <w:r w:rsidRPr="00A2532C">
        <w:rPr>
          <w:rFonts w:cs="Helvetica"/>
        </w:rPr>
        <w:t>Section 7</w:t>
      </w:r>
    </w:p>
    <w:p w14:paraId="05030E2C" w14:textId="77777777" w:rsidR="00CC23AA" w:rsidRPr="00A2532C" w:rsidRDefault="00CC23AA" w:rsidP="00001C95">
      <w:pPr>
        <w:tabs>
          <w:tab w:val="left" w:pos="900"/>
        </w:tabs>
        <w:rPr>
          <w:rFonts w:cs="Helvetica"/>
          <w:b/>
        </w:rPr>
      </w:pPr>
    </w:p>
    <w:p w14:paraId="6B85DF4D" w14:textId="3669A6A7" w:rsidR="00442A8E" w:rsidRDefault="00720EE4" w:rsidP="00442A8E">
      <w:pPr>
        <w:tabs>
          <w:tab w:val="left" w:pos="900"/>
        </w:tabs>
        <w:rPr>
          <w:rFonts w:cs="Helvetica"/>
          <w:b/>
        </w:rPr>
      </w:pPr>
      <w:r w:rsidRPr="00A2532C">
        <w:rPr>
          <w:rFonts w:cs="Helvetica"/>
          <w:b/>
        </w:rPr>
        <w:t>Nov. 6</w:t>
      </w:r>
      <w:r w:rsidR="00F905FD">
        <w:rPr>
          <w:rFonts w:cs="Helvetica"/>
          <w:b/>
        </w:rPr>
        <w:t>-8</w:t>
      </w:r>
      <w:r w:rsidR="00B72DA4">
        <w:rPr>
          <w:rFonts w:cs="Helvetica"/>
          <w:b/>
        </w:rPr>
        <w:t xml:space="preserve"> </w:t>
      </w:r>
      <w:r w:rsidR="00F905FD">
        <w:rPr>
          <w:rFonts w:cs="Helvetica"/>
          <w:b/>
        </w:rPr>
        <w:t>Trouble at Home  (no lecture on Wednesday</w:t>
      </w:r>
      <w:r w:rsidR="00AB1978">
        <w:rPr>
          <w:rFonts w:cs="Helvetica"/>
          <w:b/>
        </w:rPr>
        <w:t>; no section</w:t>
      </w:r>
      <w:r w:rsidR="00F905FD">
        <w:rPr>
          <w:rFonts w:cs="Helvetica"/>
          <w:b/>
        </w:rPr>
        <w:t xml:space="preserve">) </w:t>
      </w:r>
    </w:p>
    <w:p w14:paraId="50BA3DA4" w14:textId="77777777" w:rsidR="00F905FD" w:rsidRPr="00A2532C" w:rsidRDefault="00F905FD" w:rsidP="00F905FD">
      <w:r>
        <w:rPr>
          <w:rStyle w:val="Hyperlink"/>
          <w:color w:val="auto"/>
          <w:u w:val="none"/>
        </w:rPr>
        <w:t>1</w:t>
      </w:r>
      <w:r w:rsidRPr="00A2532C">
        <w:rPr>
          <w:rStyle w:val="Hyperlink"/>
          <w:color w:val="auto"/>
          <w:u w:val="none"/>
        </w:rPr>
        <w:t xml:space="preserve">. </w:t>
      </w:r>
      <w:r w:rsidRPr="00A2532C">
        <w:t xml:space="preserve">Read “Fair Harvard?” in </w:t>
      </w:r>
      <w:r w:rsidRPr="00A2532C">
        <w:rPr>
          <w:i/>
        </w:rPr>
        <w:t xml:space="preserve">Yards and Gates, </w:t>
      </w:r>
      <w:r w:rsidRPr="00A2532C">
        <w:t>pp. 159-</w:t>
      </w:r>
      <w:r>
        <w:t xml:space="preserve">170. </w:t>
      </w:r>
    </w:p>
    <w:p w14:paraId="13DBAF12" w14:textId="2B303DD7" w:rsidR="00F905FD" w:rsidRPr="00A2532C" w:rsidRDefault="00F905FD" w:rsidP="00F905FD">
      <w:r>
        <w:t>2</w:t>
      </w:r>
      <w:r w:rsidRPr="00A2532C">
        <w:t xml:space="preserve">. </w:t>
      </w:r>
      <w:r>
        <w:t xml:space="preserve">Read </w:t>
      </w:r>
      <w:r w:rsidRPr="00A2532C">
        <w:t xml:space="preserve">Amit Paley, “The Secret Court of 1920,” </w:t>
      </w:r>
      <w:r w:rsidRPr="00630583">
        <w:rPr>
          <w:i/>
        </w:rPr>
        <w:t xml:space="preserve">Harvard </w:t>
      </w:r>
      <w:r w:rsidR="00630583" w:rsidRPr="00630583">
        <w:rPr>
          <w:i/>
        </w:rPr>
        <w:t>Crimson</w:t>
      </w:r>
      <w:r w:rsidR="00630583" w:rsidRPr="00A2532C">
        <w:t>,</w:t>
      </w:r>
      <w:r w:rsidRPr="00A2532C">
        <w:t xml:space="preserve"> November 21, 2002 </w:t>
      </w:r>
    </w:p>
    <w:p w14:paraId="6DD80DFE" w14:textId="77777777" w:rsidR="00F905FD" w:rsidRDefault="00F905FD" w:rsidP="00F905FD">
      <w:r>
        <w:t>3</w:t>
      </w:r>
      <w:r w:rsidRPr="00A2532C">
        <w:t xml:space="preserve">. </w:t>
      </w:r>
      <w:r>
        <w:t xml:space="preserve">Read, </w:t>
      </w:r>
      <w:r w:rsidRPr="00A2532C">
        <w:t xml:space="preserve">“The Harvard Dormitory Crisis,” in </w:t>
      </w:r>
      <w:r w:rsidRPr="00A2532C">
        <w:rPr>
          <w:i/>
        </w:rPr>
        <w:t>Blacks at Harvard</w:t>
      </w:r>
      <w:r w:rsidRPr="00A2532C">
        <w:t>, pp. 189-227.</w:t>
      </w:r>
    </w:p>
    <w:p w14:paraId="149DBBEB" w14:textId="77777777" w:rsidR="00F905FD" w:rsidRDefault="00F905FD" w:rsidP="00F905FD">
      <w:pPr>
        <w:pStyle w:val="ListParagraph"/>
        <w:tabs>
          <w:tab w:val="left" w:pos="720"/>
        </w:tabs>
        <w:ind w:left="0"/>
        <w:rPr>
          <w:rFonts w:asciiTheme="minorHAnsi" w:hAnsiTheme="minorHAnsi" w:cs="Lucida Grande"/>
          <w:szCs w:val="24"/>
        </w:rPr>
      </w:pPr>
      <w:r>
        <w:rPr>
          <w:rFonts w:asciiTheme="minorHAnsi" w:hAnsiTheme="minorHAnsi" w:cs="Lucida Grande"/>
          <w:szCs w:val="24"/>
        </w:rPr>
        <w:t>4</w:t>
      </w:r>
      <w:r w:rsidRPr="00A2532C">
        <w:rPr>
          <w:rFonts w:asciiTheme="minorHAnsi" w:hAnsiTheme="minorHAnsi" w:cs="Lucida Grande"/>
          <w:szCs w:val="24"/>
        </w:rPr>
        <w:t xml:space="preserve">. </w:t>
      </w:r>
      <w:r>
        <w:rPr>
          <w:rFonts w:asciiTheme="minorHAnsi" w:hAnsiTheme="minorHAnsi" w:cs="Lucida Grande"/>
          <w:szCs w:val="24"/>
        </w:rPr>
        <w:t xml:space="preserve">Read </w:t>
      </w:r>
      <w:r w:rsidRPr="00A2532C">
        <w:rPr>
          <w:rFonts w:asciiTheme="minorHAnsi" w:hAnsiTheme="minorHAnsi" w:cs="Lucida Grande"/>
          <w:szCs w:val="24"/>
        </w:rPr>
        <w:t xml:space="preserve">W.E.B. Dubois, “A Negro Student at Harvard at the End of the Nineteenth Century,“ </w:t>
      </w:r>
      <w:r w:rsidRPr="00A2532C">
        <w:rPr>
          <w:rFonts w:asciiTheme="minorHAnsi" w:hAnsiTheme="minorHAnsi" w:cs="Lucida Grande"/>
          <w:i/>
          <w:szCs w:val="24"/>
        </w:rPr>
        <w:t>Massachusetts Review</w:t>
      </w:r>
      <w:r w:rsidRPr="00A2532C">
        <w:rPr>
          <w:rFonts w:asciiTheme="minorHAnsi" w:hAnsiTheme="minorHAnsi" w:cs="Lucida Grande"/>
          <w:szCs w:val="24"/>
        </w:rPr>
        <w:t xml:space="preserve"> 1 (Spring 1960): 439-458</w:t>
      </w:r>
    </w:p>
    <w:p w14:paraId="023ED68E" w14:textId="77777777" w:rsidR="00F905FD" w:rsidRDefault="00F905FD" w:rsidP="00F905FD">
      <w:pPr>
        <w:pStyle w:val="ListParagraph"/>
        <w:tabs>
          <w:tab w:val="left" w:pos="720"/>
        </w:tabs>
        <w:ind w:left="0"/>
        <w:rPr>
          <w:rFonts w:asciiTheme="minorHAnsi" w:hAnsiTheme="minorHAnsi" w:cs="Lucida Grande"/>
          <w:szCs w:val="24"/>
        </w:rPr>
      </w:pPr>
      <w:r>
        <w:rPr>
          <w:rFonts w:asciiTheme="minorHAnsi" w:hAnsiTheme="minorHAnsi" w:cs="Lucida Grande"/>
          <w:szCs w:val="24"/>
        </w:rPr>
        <w:t xml:space="preserve">5. Read “A Gift from the Ladies of Llangollen,” in </w:t>
      </w:r>
      <w:r w:rsidRPr="00F905FD">
        <w:rPr>
          <w:rFonts w:asciiTheme="minorHAnsi" w:hAnsiTheme="minorHAnsi" w:cs="Lucida Grande"/>
          <w:i/>
          <w:szCs w:val="24"/>
        </w:rPr>
        <w:t>Tangible Things</w:t>
      </w:r>
      <w:r>
        <w:rPr>
          <w:rFonts w:asciiTheme="minorHAnsi" w:hAnsiTheme="minorHAnsi" w:cs="Lucida Grande"/>
          <w:szCs w:val="24"/>
        </w:rPr>
        <w:t>, pp. 80-85.</w:t>
      </w:r>
    </w:p>
    <w:p w14:paraId="780547F3" w14:textId="5BA6C5E4" w:rsidR="00F905FD" w:rsidRPr="00F905FD" w:rsidRDefault="00F905FD" w:rsidP="003B2790">
      <w:pPr>
        <w:rPr>
          <w:i/>
        </w:rPr>
      </w:pPr>
      <w:r>
        <w:rPr>
          <w:b/>
        </w:rPr>
        <w:t xml:space="preserve">6. Sign up for collections visits on Wednesday-Friday. </w:t>
      </w:r>
    </w:p>
    <w:p w14:paraId="4F8F6C53" w14:textId="77777777" w:rsidR="00442A8E" w:rsidRDefault="00442A8E" w:rsidP="00720EE4">
      <w:pPr>
        <w:rPr>
          <w:rFonts w:cs="Helvetica"/>
        </w:rPr>
      </w:pPr>
    </w:p>
    <w:p w14:paraId="4C3B853E" w14:textId="2F88D031" w:rsidR="00442A8E" w:rsidRPr="00442A8E" w:rsidRDefault="00442A8E" w:rsidP="00720EE4">
      <w:pPr>
        <w:rPr>
          <w:rFonts w:cs="Helvetica"/>
          <w:b/>
        </w:rPr>
      </w:pPr>
      <w:r w:rsidRPr="00442A8E">
        <w:rPr>
          <w:rFonts w:cs="Helvetica"/>
          <w:b/>
        </w:rPr>
        <w:t xml:space="preserve">Nov. </w:t>
      </w:r>
      <w:r w:rsidR="00B72DA4">
        <w:rPr>
          <w:rFonts w:cs="Helvetica"/>
          <w:b/>
        </w:rPr>
        <w:t xml:space="preserve">13-15 </w:t>
      </w:r>
      <w:r w:rsidR="00F905FD">
        <w:rPr>
          <w:rFonts w:cs="Helvetica"/>
          <w:b/>
        </w:rPr>
        <w:t>Art and War</w:t>
      </w:r>
    </w:p>
    <w:p w14:paraId="7F25DA16" w14:textId="77777777" w:rsidR="00F905FD" w:rsidRDefault="00F905FD" w:rsidP="00F905FD">
      <w:r>
        <w:t>1. Read Conn: Chapter 6, “Art Museums and the Creation of Fine Art,” 192-232.</w:t>
      </w:r>
    </w:p>
    <w:p w14:paraId="6A2C7606" w14:textId="77777777" w:rsidR="00F905FD" w:rsidRDefault="00F905FD" w:rsidP="00F905FD">
      <w:r>
        <w:t xml:space="preserve">2. Read, Jane Dini, “The Art of Selling War: Sargent’s World War I Murals for Harvard University,” </w:t>
      </w:r>
      <w:r>
        <w:rPr>
          <w:i/>
        </w:rPr>
        <w:t>Harvard Art Museums Bulletin</w:t>
      </w:r>
      <w:r w:rsidRPr="00F16D0A">
        <w:t>, 7 (200</w:t>
      </w:r>
      <w:r>
        <w:t>0</w:t>
      </w:r>
      <w:r w:rsidRPr="00F16D0A">
        <w:t>): 67-84.</w:t>
      </w:r>
      <w:r>
        <w:t xml:space="preserve"> </w:t>
      </w:r>
    </w:p>
    <w:p w14:paraId="0AE4D2C0" w14:textId="1431D5FA" w:rsidR="00F905FD" w:rsidRPr="00A2532C" w:rsidRDefault="00F905FD" w:rsidP="00F905FD">
      <w:r>
        <w:t>3</w:t>
      </w:r>
      <w:r w:rsidRPr="00A2532C">
        <w:t xml:space="preserve">. </w:t>
      </w:r>
      <w:r>
        <w:t xml:space="preserve">Read </w:t>
      </w:r>
      <w:r w:rsidRPr="00A2532C">
        <w:t xml:space="preserve">“The Bauhaus Manifesto,” </w:t>
      </w:r>
    </w:p>
    <w:p w14:paraId="46B8C415" w14:textId="34B78058" w:rsidR="00F905FD" w:rsidRDefault="00F905FD" w:rsidP="00F905FD">
      <w:r>
        <w:t>4. Visit the Sargent Murals and the Harry Elkins Widener Memorial Room in Widener Library</w:t>
      </w:r>
    </w:p>
    <w:p w14:paraId="6E558C0F" w14:textId="62EAFE5A" w:rsidR="00F905FD" w:rsidRDefault="00F905FD" w:rsidP="00F905FD">
      <w:r>
        <w:t>5. Revisit our exhibit in the University Study Gallery, 3d Floor, Art Museum</w:t>
      </w:r>
    </w:p>
    <w:p w14:paraId="2EB03C77" w14:textId="77777777" w:rsidR="00C3443A" w:rsidRDefault="00C3443A" w:rsidP="00F905FD"/>
    <w:p w14:paraId="3A0C7D78" w14:textId="0C362F13" w:rsidR="00C3443A" w:rsidRDefault="00C3443A" w:rsidP="00C3443A">
      <w:pPr>
        <w:ind w:firstLine="720"/>
      </w:pPr>
      <w:r>
        <w:t>Section 8</w:t>
      </w:r>
    </w:p>
    <w:p w14:paraId="07350E99" w14:textId="77777777" w:rsidR="00DD6665" w:rsidRDefault="00DD6665" w:rsidP="00F905FD"/>
    <w:p w14:paraId="197DB82F" w14:textId="070FAA2F" w:rsidR="00DD6665" w:rsidRPr="00DD6665" w:rsidRDefault="00DD6665" w:rsidP="00F905FD">
      <w:pPr>
        <w:rPr>
          <w:u w:val="single"/>
        </w:rPr>
      </w:pPr>
      <w:r>
        <w:rPr>
          <w:u w:val="single"/>
        </w:rPr>
        <w:t>FINAL PROJECT PROPOSAL DUE</w:t>
      </w:r>
    </w:p>
    <w:p w14:paraId="74847433" w14:textId="77777777" w:rsidR="00720EE4" w:rsidRPr="00A2532C" w:rsidRDefault="00720EE4" w:rsidP="008316E0">
      <w:pPr>
        <w:tabs>
          <w:tab w:val="left" w:pos="900"/>
        </w:tabs>
        <w:rPr>
          <w:rFonts w:cs="Helvetica"/>
          <w:b/>
        </w:rPr>
      </w:pPr>
    </w:p>
    <w:p w14:paraId="1330421B" w14:textId="04447991" w:rsidR="003B2790" w:rsidRDefault="00720EE4" w:rsidP="003B2790">
      <w:pPr>
        <w:tabs>
          <w:tab w:val="left" w:pos="900"/>
        </w:tabs>
        <w:rPr>
          <w:rFonts w:cs="Helvetica"/>
          <w:b/>
        </w:rPr>
      </w:pPr>
      <w:r w:rsidRPr="00A2532C">
        <w:rPr>
          <w:rFonts w:cs="Helvetica"/>
          <w:b/>
        </w:rPr>
        <w:t xml:space="preserve">Nov. </w:t>
      </w:r>
      <w:r w:rsidR="00B72DA4">
        <w:rPr>
          <w:rFonts w:cs="Helvetica"/>
          <w:b/>
        </w:rPr>
        <w:t xml:space="preserve">20 </w:t>
      </w:r>
      <w:r w:rsidR="003B2790" w:rsidRPr="00A2532C">
        <w:rPr>
          <w:rFonts w:cs="Helvetica"/>
          <w:b/>
        </w:rPr>
        <w:t>Manifestoes</w:t>
      </w:r>
      <w:r w:rsidR="00851786">
        <w:rPr>
          <w:rFonts w:cs="Helvetica"/>
          <w:b/>
        </w:rPr>
        <w:t xml:space="preserve"> (no lecture on Weds. 11/22; no section)</w:t>
      </w:r>
    </w:p>
    <w:p w14:paraId="28C64287" w14:textId="77777777" w:rsidR="003B2790" w:rsidRPr="00A2532C" w:rsidRDefault="003B2790" w:rsidP="003B2790">
      <w:r w:rsidRPr="00A2532C">
        <w:t xml:space="preserve">1. </w:t>
      </w:r>
      <w:r>
        <w:t xml:space="preserve">Read </w:t>
      </w:r>
      <w:r w:rsidRPr="00A2532C">
        <w:t>Synnott, “Changing Harvard Student</w:t>
      </w:r>
      <w:r>
        <w:t>”;</w:t>
      </w:r>
      <w:r w:rsidRPr="00A2532C">
        <w:t xml:space="preserve"> Mandel, “Feminism and Femininity in Almost Equal Balance</w:t>
      </w:r>
      <w:r>
        <w:t>”;</w:t>
      </w:r>
      <w:r w:rsidRPr="00A2532C">
        <w:t xml:space="preserve"> </w:t>
      </w:r>
      <w:r>
        <w:t xml:space="preserve">Karnovsky, Hubbard, and Mosely, “Midcentury Memories”; Stetzer, “From Sympathizers to Organizers,” and “Memories of Change,” in </w:t>
      </w:r>
      <w:r w:rsidRPr="00A2532C">
        <w:rPr>
          <w:i/>
        </w:rPr>
        <w:t xml:space="preserve">Yards and </w:t>
      </w:r>
      <w:r w:rsidRPr="00A2532C">
        <w:t xml:space="preserve">Gates, pp. </w:t>
      </w:r>
      <w:r>
        <w:t xml:space="preserve">195-207, </w:t>
      </w:r>
      <w:r w:rsidRPr="00A2532C">
        <w:t>215-244</w:t>
      </w:r>
      <w:r>
        <w:t xml:space="preserve">, 271-302. </w:t>
      </w:r>
      <w:r w:rsidRPr="00A2532C">
        <w:t>[346-446];</w:t>
      </w:r>
    </w:p>
    <w:p w14:paraId="07EAEECA" w14:textId="4EB2C31E" w:rsidR="003B2790" w:rsidRPr="00433489" w:rsidRDefault="00DD6665" w:rsidP="003B2790">
      <w:pPr>
        <w:rPr>
          <w:rStyle w:val="Hyperlink"/>
          <w:color w:val="auto"/>
          <w:u w:val="none"/>
        </w:rPr>
      </w:pPr>
      <w:r>
        <w:t>2</w:t>
      </w:r>
      <w:r w:rsidR="003B2790" w:rsidRPr="00A2532C">
        <w:t xml:space="preserve">. </w:t>
      </w:r>
      <w:r w:rsidR="00433489">
        <w:t xml:space="preserve">View </w:t>
      </w:r>
      <w:r w:rsidR="003B2790" w:rsidRPr="00A2532C">
        <w:t>David Letterman interview with Grace Hopper</w:t>
      </w:r>
      <w:r w:rsidR="003B2790">
        <w:t xml:space="preserve"> </w:t>
      </w:r>
      <w:r w:rsidR="00433489">
        <w:t>and read</w:t>
      </w:r>
      <w:r w:rsidR="00433489">
        <w:rPr>
          <w:rStyle w:val="Hyperlink"/>
          <w:color w:val="auto"/>
          <w:u w:val="none"/>
        </w:rPr>
        <w:t xml:space="preserve"> </w:t>
      </w:r>
      <w:r w:rsidR="003B2790" w:rsidRPr="00390FB2">
        <w:rPr>
          <w:rStyle w:val="Hyperlink"/>
          <w:color w:val="000000" w:themeColor="text1"/>
          <w:u w:val="none"/>
        </w:rPr>
        <w:t xml:space="preserve">Fred R. Shapiro, “Etymology of the Computer Bug: History and Folklore, </w:t>
      </w:r>
      <w:r w:rsidR="003B2790" w:rsidRPr="00390FB2">
        <w:rPr>
          <w:rStyle w:val="Hyperlink"/>
          <w:i/>
          <w:color w:val="000000" w:themeColor="text1"/>
          <w:u w:val="none"/>
        </w:rPr>
        <w:t xml:space="preserve">American Speech, </w:t>
      </w:r>
      <w:r w:rsidR="003B2790" w:rsidRPr="00390FB2">
        <w:rPr>
          <w:rStyle w:val="Hyperlink"/>
          <w:color w:val="000000" w:themeColor="text1"/>
          <w:u w:val="none"/>
        </w:rPr>
        <w:t xml:space="preserve">62.4 (Winter, 1987): 376-378. </w:t>
      </w:r>
    </w:p>
    <w:p w14:paraId="09459BE0" w14:textId="77777777" w:rsidR="00F16D0A" w:rsidRDefault="00F16D0A" w:rsidP="00442A8E">
      <w:pPr>
        <w:tabs>
          <w:tab w:val="left" w:pos="900"/>
        </w:tabs>
        <w:rPr>
          <w:rFonts w:cs="Helvetica"/>
          <w:b/>
        </w:rPr>
      </w:pPr>
    </w:p>
    <w:p w14:paraId="021281E6" w14:textId="45091A60" w:rsidR="00F16D0A" w:rsidRDefault="00F16D0A" w:rsidP="00442A8E">
      <w:pPr>
        <w:tabs>
          <w:tab w:val="left" w:pos="900"/>
        </w:tabs>
        <w:rPr>
          <w:rFonts w:cs="Helvetica"/>
          <w:b/>
        </w:rPr>
      </w:pPr>
      <w:r>
        <w:rPr>
          <w:rFonts w:cs="Helvetica"/>
          <w:b/>
        </w:rPr>
        <w:t>Thanksgiving Break</w:t>
      </w:r>
    </w:p>
    <w:p w14:paraId="02B06B18" w14:textId="77777777" w:rsidR="00F16D0A" w:rsidRDefault="00F16D0A" w:rsidP="00442A8E">
      <w:pPr>
        <w:tabs>
          <w:tab w:val="left" w:pos="900"/>
        </w:tabs>
        <w:rPr>
          <w:rFonts w:cs="Helvetica"/>
          <w:b/>
        </w:rPr>
      </w:pPr>
    </w:p>
    <w:p w14:paraId="52405D42" w14:textId="29C1E396" w:rsidR="007005C0" w:rsidRDefault="00F2682E" w:rsidP="00001C95">
      <w:pPr>
        <w:tabs>
          <w:tab w:val="left" w:pos="900"/>
        </w:tabs>
        <w:rPr>
          <w:rFonts w:cs="Helvetica"/>
          <w:b/>
        </w:rPr>
      </w:pPr>
      <w:r>
        <w:rPr>
          <w:rFonts w:cs="Helvetica"/>
          <w:b/>
        </w:rPr>
        <w:t>Nov. 27-2</w:t>
      </w:r>
      <w:r w:rsidR="00C90E90" w:rsidRPr="00A2532C">
        <w:rPr>
          <w:rFonts w:cs="Helvetica"/>
          <w:b/>
        </w:rPr>
        <w:t xml:space="preserve">9 </w:t>
      </w:r>
      <w:r w:rsidR="006575C1">
        <w:rPr>
          <w:rFonts w:cs="Helvetica"/>
          <w:b/>
        </w:rPr>
        <w:t xml:space="preserve"> </w:t>
      </w:r>
      <w:r w:rsidR="00B72DA4">
        <w:rPr>
          <w:rFonts w:cs="Helvetica"/>
          <w:b/>
        </w:rPr>
        <w:t>Reclaiming the Past</w:t>
      </w:r>
    </w:p>
    <w:p w14:paraId="3A59D2D0" w14:textId="5AC75404" w:rsidR="00B72DA4" w:rsidRDefault="00DD6665" w:rsidP="00B72DA4">
      <w:pPr>
        <w:tabs>
          <w:tab w:val="left" w:pos="900"/>
        </w:tabs>
        <w:rPr>
          <w:rFonts w:cs="Helvetica"/>
        </w:rPr>
      </w:pPr>
      <w:r>
        <w:rPr>
          <w:rFonts w:cs="Helvetica"/>
        </w:rPr>
        <w:t xml:space="preserve">1. </w:t>
      </w:r>
      <w:r w:rsidR="00B72DA4">
        <w:rPr>
          <w:rFonts w:cs="Helvetica"/>
        </w:rPr>
        <w:t xml:space="preserve">View </w:t>
      </w:r>
      <w:r w:rsidR="000D5334">
        <w:rPr>
          <w:rFonts w:cs="Helvetica"/>
        </w:rPr>
        <w:t>“Whose Collections? Whose Heritage?”</w:t>
      </w:r>
    </w:p>
    <w:p w14:paraId="55887970" w14:textId="46596601" w:rsidR="00B72DA4" w:rsidRPr="005E2B15" w:rsidRDefault="00DD6665" w:rsidP="00B72DA4">
      <w:pPr>
        <w:tabs>
          <w:tab w:val="left" w:pos="900"/>
        </w:tabs>
        <w:rPr>
          <w:rFonts w:cs="Helvetica"/>
        </w:rPr>
      </w:pPr>
      <w:r>
        <w:rPr>
          <w:rFonts w:cs="Helvetica"/>
        </w:rPr>
        <w:t>2.</w:t>
      </w:r>
      <w:r w:rsidR="00B72DA4">
        <w:rPr>
          <w:rFonts w:cs="Helvetica"/>
        </w:rPr>
        <w:t xml:space="preserve"> Read Conn, Chap. 5, Objects and American History, “ pp. 151-191</w:t>
      </w:r>
    </w:p>
    <w:p w14:paraId="6FA7A7C9" w14:textId="37C7A8C3" w:rsidR="00B72DA4" w:rsidRDefault="00DD6665" w:rsidP="00B72DA4">
      <w:pPr>
        <w:tabs>
          <w:tab w:val="left" w:pos="900"/>
        </w:tabs>
        <w:rPr>
          <w:rFonts w:cs="Helvetica"/>
        </w:rPr>
      </w:pPr>
      <w:r>
        <w:rPr>
          <w:rFonts w:cs="Helvetica"/>
        </w:rPr>
        <w:t>3</w:t>
      </w:r>
      <w:r w:rsidR="00B72DA4">
        <w:rPr>
          <w:rFonts w:cs="Helvetica"/>
        </w:rPr>
        <w:t xml:space="preserve">. Read </w:t>
      </w:r>
      <w:r w:rsidR="00D33CAE">
        <w:rPr>
          <w:rFonts w:cs="Helvetica"/>
        </w:rPr>
        <w:t>“Objects as Portals,” “A Nostal</w:t>
      </w:r>
      <w:r w:rsidR="000D5334">
        <w:rPr>
          <w:rFonts w:cs="Helvetica"/>
        </w:rPr>
        <w:t>g</w:t>
      </w:r>
      <w:r w:rsidR="00D33CAE">
        <w:rPr>
          <w:rFonts w:cs="Helvetica"/>
        </w:rPr>
        <w:t xml:space="preserve">ic Painting,” and </w:t>
      </w:r>
      <w:r w:rsidR="00B72DA4">
        <w:rPr>
          <w:rFonts w:cs="Helvetica"/>
        </w:rPr>
        <w:t xml:space="preserve">“Changing Stories About American Indians,” in </w:t>
      </w:r>
      <w:r w:rsidR="00B72DA4">
        <w:rPr>
          <w:rFonts w:cs="Helvetica"/>
          <w:i/>
        </w:rPr>
        <w:t xml:space="preserve">Tangible Things, </w:t>
      </w:r>
      <w:r w:rsidR="00B72DA4">
        <w:rPr>
          <w:rFonts w:cs="Helvetica"/>
        </w:rPr>
        <w:t>1</w:t>
      </w:r>
      <w:r w:rsidR="00D33CAE">
        <w:rPr>
          <w:rFonts w:cs="Helvetica"/>
        </w:rPr>
        <w:t>64</w:t>
      </w:r>
      <w:r w:rsidR="00B72DA4">
        <w:rPr>
          <w:rFonts w:cs="Helvetica"/>
        </w:rPr>
        <w:t>-1</w:t>
      </w:r>
      <w:r w:rsidR="00D33CAE">
        <w:rPr>
          <w:rFonts w:cs="Helvetica"/>
        </w:rPr>
        <w:t>79, and 186-1</w:t>
      </w:r>
      <w:r w:rsidR="00B72DA4">
        <w:rPr>
          <w:rFonts w:cs="Helvetica"/>
        </w:rPr>
        <w:t>92</w:t>
      </w:r>
    </w:p>
    <w:p w14:paraId="46D0682B" w14:textId="77777777" w:rsidR="00516E93" w:rsidRPr="00516E93" w:rsidRDefault="00516E93" w:rsidP="00001C95">
      <w:pPr>
        <w:tabs>
          <w:tab w:val="left" w:pos="900"/>
        </w:tabs>
        <w:rPr>
          <w:rFonts w:cs="Helvetica"/>
        </w:rPr>
      </w:pPr>
    </w:p>
    <w:p w14:paraId="7D8B2035" w14:textId="162BFCD7" w:rsidR="00C12588" w:rsidRDefault="00C12588" w:rsidP="00F40ADB">
      <w:pPr>
        <w:rPr>
          <w:rStyle w:val="Hyperlink"/>
          <w:color w:val="auto"/>
          <w:u w:val="none"/>
        </w:rPr>
      </w:pPr>
      <w:r w:rsidRPr="00A2532C">
        <w:rPr>
          <w:rStyle w:val="Hyperlink"/>
          <w:color w:val="auto"/>
          <w:u w:val="none"/>
        </w:rPr>
        <w:tab/>
        <w:t xml:space="preserve">Section </w:t>
      </w:r>
      <w:r w:rsidR="00C90E90" w:rsidRPr="00A2532C">
        <w:rPr>
          <w:rStyle w:val="Hyperlink"/>
          <w:color w:val="auto"/>
          <w:u w:val="none"/>
        </w:rPr>
        <w:t>9</w:t>
      </w:r>
    </w:p>
    <w:p w14:paraId="487E4725" w14:textId="77777777" w:rsidR="00691D16" w:rsidRPr="00A2532C" w:rsidRDefault="00691D16" w:rsidP="00001C95">
      <w:pPr>
        <w:tabs>
          <w:tab w:val="left" w:pos="900"/>
        </w:tabs>
        <w:rPr>
          <w:rFonts w:cs="Helvetica"/>
          <w:b/>
        </w:rPr>
      </w:pPr>
    </w:p>
    <w:p w14:paraId="1F9968B2" w14:textId="01B8FCA9" w:rsidR="008700BE" w:rsidRPr="00A2532C" w:rsidRDefault="007005C0" w:rsidP="00001C95">
      <w:pPr>
        <w:tabs>
          <w:tab w:val="left" w:pos="900"/>
        </w:tabs>
        <w:rPr>
          <w:rFonts w:cs="Helvetica"/>
          <w:u w:val="single"/>
        </w:rPr>
      </w:pPr>
      <w:r w:rsidRPr="00A2532C">
        <w:rPr>
          <w:rFonts w:cs="Helvetica"/>
          <w:u w:val="single"/>
        </w:rPr>
        <w:t xml:space="preserve">Final Projects Due by 5 p.m. </w:t>
      </w:r>
      <w:r w:rsidR="00893F1E">
        <w:rPr>
          <w:rFonts w:cs="Helvetica"/>
          <w:u w:val="single"/>
        </w:rPr>
        <w:t>Dec.</w:t>
      </w:r>
      <w:r w:rsidRPr="00A2532C">
        <w:rPr>
          <w:rFonts w:cs="Helvetica"/>
          <w:u w:val="single"/>
        </w:rPr>
        <w:t xml:space="preserve"> 6</w:t>
      </w:r>
    </w:p>
    <w:p w14:paraId="29772A5F" w14:textId="77777777" w:rsidR="00CE6B2D" w:rsidRPr="00A2532C" w:rsidRDefault="00CE6B2D" w:rsidP="002637D8">
      <w:pPr>
        <w:ind w:left="720"/>
        <w:rPr>
          <w:rFonts w:cs="Helvetica"/>
        </w:rPr>
      </w:pPr>
    </w:p>
    <w:p w14:paraId="7CC36A22" w14:textId="77777777" w:rsidR="002637D8" w:rsidRPr="00A2532C" w:rsidRDefault="002637D8" w:rsidP="002637D8">
      <w:pPr>
        <w:ind w:left="720"/>
      </w:pPr>
    </w:p>
    <w:p w14:paraId="3A789DB2" w14:textId="77777777" w:rsidR="009D4C38" w:rsidRDefault="009D4C38" w:rsidP="009D4C38"/>
    <w:p w14:paraId="40469A98" w14:textId="77777777" w:rsidR="009D4C38" w:rsidRDefault="009D4C38" w:rsidP="009D4C38"/>
    <w:p w14:paraId="589ED58B" w14:textId="6C87D6C5" w:rsidR="00E15877" w:rsidRDefault="00E15877"/>
    <w:sectPr w:rsidR="00E15877" w:rsidSect="00832D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73D0"/>
    <w:multiLevelType w:val="hybridMultilevel"/>
    <w:tmpl w:val="FABC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8299B"/>
    <w:multiLevelType w:val="hybridMultilevel"/>
    <w:tmpl w:val="C1AE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A"/>
    <w:rsid w:val="00001C95"/>
    <w:rsid w:val="000068A7"/>
    <w:rsid w:val="000071E2"/>
    <w:rsid w:val="00012809"/>
    <w:rsid w:val="00030A69"/>
    <w:rsid w:val="000363F9"/>
    <w:rsid w:val="00040848"/>
    <w:rsid w:val="000834E7"/>
    <w:rsid w:val="000A292D"/>
    <w:rsid w:val="000A2D83"/>
    <w:rsid w:val="000A6072"/>
    <w:rsid w:val="000A7DFC"/>
    <w:rsid w:val="000B05E7"/>
    <w:rsid w:val="000B1709"/>
    <w:rsid w:val="000B2ABB"/>
    <w:rsid w:val="000C0B22"/>
    <w:rsid w:val="000C115F"/>
    <w:rsid w:val="000C4821"/>
    <w:rsid w:val="000C56D4"/>
    <w:rsid w:val="000D45E2"/>
    <w:rsid w:val="000D5334"/>
    <w:rsid w:val="000D5E78"/>
    <w:rsid w:val="000E7242"/>
    <w:rsid w:val="000F66F0"/>
    <w:rsid w:val="00100AC3"/>
    <w:rsid w:val="0010539C"/>
    <w:rsid w:val="0010667C"/>
    <w:rsid w:val="00107517"/>
    <w:rsid w:val="00115E2F"/>
    <w:rsid w:val="00135372"/>
    <w:rsid w:val="00135F55"/>
    <w:rsid w:val="00144616"/>
    <w:rsid w:val="00144B36"/>
    <w:rsid w:val="001605BF"/>
    <w:rsid w:val="00165153"/>
    <w:rsid w:val="00174AC1"/>
    <w:rsid w:val="00175FC5"/>
    <w:rsid w:val="00181799"/>
    <w:rsid w:val="001857A4"/>
    <w:rsid w:val="0019781D"/>
    <w:rsid w:val="001A4256"/>
    <w:rsid w:val="001B3BEA"/>
    <w:rsid w:val="001C5234"/>
    <w:rsid w:val="001C58CA"/>
    <w:rsid w:val="001D2812"/>
    <w:rsid w:val="001F058C"/>
    <w:rsid w:val="00207F16"/>
    <w:rsid w:val="0021424E"/>
    <w:rsid w:val="00217FDA"/>
    <w:rsid w:val="0022146A"/>
    <w:rsid w:val="00225C40"/>
    <w:rsid w:val="00242490"/>
    <w:rsid w:val="00244C9F"/>
    <w:rsid w:val="00244EE0"/>
    <w:rsid w:val="00251B85"/>
    <w:rsid w:val="002637D8"/>
    <w:rsid w:val="00273B84"/>
    <w:rsid w:val="0028521C"/>
    <w:rsid w:val="002A3252"/>
    <w:rsid w:val="002A45A0"/>
    <w:rsid w:val="002B11AE"/>
    <w:rsid w:val="002B6AA9"/>
    <w:rsid w:val="002C5778"/>
    <w:rsid w:val="002D1782"/>
    <w:rsid w:val="002E755F"/>
    <w:rsid w:val="0031393E"/>
    <w:rsid w:val="00315563"/>
    <w:rsid w:val="00326A2C"/>
    <w:rsid w:val="00327A9F"/>
    <w:rsid w:val="0034645A"/>
    <w:rsid w:val="00347C8E"/>
    <w:rsid w:val="00355F9A"/>
    <w:rsid w:val="0036561C"/>
    <w:rsid w:val="00372F3F"/>
    <w:rsid w:val="00373613"/>
    <w:rsid w:val="003738FE"/>
    <w:rsid w:val="0037506E"/>
    <w:rsid w:val="00380F43"/>
    <w:rsid w:val="00382C52"/>
    <w:rsid w:val="00390FB2"/>
    <w:rsid w:val="003A5119"/>
    <w:rsid w:val="003A6DC1"/>
    <w:rsid w:val="003B10FD"/>
    <w:rsid w:val="003B2790"/>
    <w:rsid w:val="003B4888"/>
    <w:rsid w:val="003B66BF"/>
    <w:rsid w:val="003B7ED7"/>
    <w:rsid w:val="003D7AB5"/>
    <w:rsid w:val="003E3034"/>
    <w:rsid w:val="003F2DEB"/>
    <w:rsid w:val="00401A8B"/>
    <w:rsid w:val="00425AA0"/>
    <w:rsid w:val="004277F9"/>
    <w:rsid w:val="00433489"/>
    <w:rsid w:val="00434E7C"/>
    <w:rsid w:val="00436CD5"/>
    <w:rsid w:val="004412B3"/>
    <w:rsid w:val="004425D5"/>
    <w:rsid w:val="00442A8E"/>
    <w:rsid w:val="004537DD"/>
    <w:rsid w:val="00461DAA"/>
    <w:rsid w:val="00462D65"/>
    <w:rsid w:val="00470EB8"/>
    <w:rsid w:val="00474F8A"/>
    <w:rsid w:val="00477683"/>
    <w:rsid w:val="00482D5A"/>
    <w:rsid w:val="00490D6A"/>
    <w:rsid w:val="00492F1F"/>
    <w:rsid w:val="00497907"/>
    <w:rsid w:val="004B08CC"/>
    <w:rsid w:val="004B1850"/>
    <w:rsid w:val="004B3256"/>
    <w:rsid w:val="004B708D"/>
    <w:rsid w:val="004B7FA1"/>
    <w:rsid w:val="004C1043"/>
    <w:rsid w:val="004D0CA3"/>
    <w:rsid w:val="004D4684"/>
    <w:rsid w:val="004E1263"/>
    <w:rsid w:val="004E4804"/>
    <w:rsid w:val="004E4C21"/>
    <w:rsid w:val="004E526E"/>
    <w:rsid w:val="004F01A6"/>
    <w:rsid w:val="00500C8D"/>
    <w:rsid w:val="00503410"/>
    <w:rsid w:val="005047BA"/>
    <w:rsid w:val="005066AF"/>
    <w:rsid w:val="00511797"/>
    <w:rsid w:val="00516E93"/>
    <w:rsid w:val="00517BC1"/>
    <w:rsid w:val="005238CB"/>
    <w:rsid w:val="00523FCF"/>
    <w:rsid w:val="00526F81"/>
    <w:rsid w:val="00532A11"/>
    <w:rsid w:val="00541D36"/>
    <w:rsid w:val="00545DBC"/>
    <w:rsid w:val="00553CBD"/>
    <w:rsid w:val="00554C80"/>
    <w:rsid w:val="00567091"/>
    <w:rsid w:val="00570D18"/>
    <w:rsid w:val="00572AEC"/>
    <w:rsid w:val="00585EB3"/>
    <w:rsid w:val="005860A7"/>
    <w:rsid w:val="00586CE7"/>
    <w:rsid w:val="00597BFA"/>
    <w:rsid w:val="005A59E3"/>
    <w:rsid w:val="005B7765"/>
    <w:rsid w:val="005C0289"/>
    <w:rsid w:val="005C0DA4"/>
    <w:rsid w:val="005D19AA"/>
    <w:rsid w:val="005D6F87"/>
    <w:rsid w:val="005E2B15"/>
    <w:rsid w:val="005E7590"/>
    <w:rsid w:val="005F060A"/>
    <w:rsid w:val="005F06BD"/>
    <w:rsid w:val="005F4B45"/>
    <w:rsid w:val="005F50D9"/>
    <w:rsid w:val="00602B38"/>
    <w:rsid w:val="00607DF1"/>
    <w:rsid w:val="006113DD"/>
    <w:rsid w:val="00611A23"/>
    <w:rsid w:val="00612F4E"/>
    <w:rsid w:val="00616203"/>
    <w:rsid w:val="00620A4F"/>
    <w:rsid w:val="00630583"/>
    <w:rsid w:val="006316DD"/>
    <w:rsid w:val="00634D3E"/>
    <w:rsid w:val="0065661E"/>
    <w:rsid w:val="006575C1"/>
    <w:rsid w:val="0065771B"/>
    <w:rsid w:val="00671022"/>
    <w:rsid w:val="006728E8"/>
    <w:rsid w:val="00680F5D"/>
    <w:rsid w:val="00685FA0"/>
    <w:rsid w:val="00691D16"/>
    <w:rsid w:val="006A53A6"/>
    <w:rsid w:val="006B1011"/>
    <w:rsid w:val="006B25E3"/>
    <w:rsid w:val="006B5576"/>
    <w:rsid w:val="006C283F"/>
    <w:rsid w:val="006C349B"/>
    <w:rsid w:val="006D304C"/>
    <w:rsid w:val="006E084B"/>
    <w:rsid w:val="006E0A32"/>
    <w:rsid w:val="006E6188"/>
    <w:rsid w:val="007005C0"/>
    <w:rsid w:val="00700AB0"/>
    <w:rsid w:val="00720EE4"/>
    <w:rsid w:val="0072124C"/>
    <w:rsid w:val="007232DD"/>
    <w:rsid w:val="00730BDF"/>
    <w:rsid w:val="007313C1"/>
    <w:rsid w:val="00734AE7"/>
    <w:rsid w:val="007402E3"/>
    <w:rsid w:val="00741374"/>
    <w:rsid w:val="007552E8"/>
    <w:rsid w:val="00757357"/>
    <w:rsid w:val="00757DBC"/>
    <w:rsid w:val="00785D03"/>
    <w:rsid w:val="00790F04"/>
    <w:rsid w:val="007A0B17"/>
    <w:rsid w:val="007A3580"/>
    <w:rsid w:val="007A4CB6"/>
    <w:rsid w:val="007B285B"/>
    <w:rsid w:val="007C0AA8"/>
    <w:rsid w:val="007C1B3C"/>
    <w:rsid w:val="007C1B3F"/>
    <w:rsid w:val="007C3233"/>
    <w:rsid w:val="007C50C9"/>
    <w:rsid w:val="007D3E99"/>
    <w:rsid w:val="007D703E"/>
    <w:rsid w:val="007E31C5"/>
    <w:rsid w:val="007F59CF"/>
    <w:rsid w:val="007F5EF6"/>
    <w:rsid w:val="00800D29"/>
    <w:rsid w:val="008017AD"/>
    <w:rsid w:val="00803C77"/>
    <w:rsid w:val="008043E0"/>
    <w:rsid w:val="00810E71"/>
    <w:rsid w:val="008139D7"/>
    <w:rsid w:val="00815179"/>
    <w:rsid w:val="00827143"/>
    <w:rsid w:val="008316E0"/>
    <w:rsid w:val="00832D43"/>
    <w:rsid w:val="00836FC3"/>
    <w:rsid w:val="008377B9"/>
    <w:rsid w:val="00842F0C"/>
    <w:rsid w:val="008465CB"/>
    <w:rsid w:val="00851786"/>
    <w:rsid w:val="00860494"/>
    <w:rsid w:val="00867276"/>
    <w:rsid w:val="008700BE"/>
    <w:rsid w:val="00872087"/>
    <w:rsid w:val="008732DD"/>
    <w:rsid w:val="008747FD"/>
    <w:rsid w:val="00893F1E"/>
    <w:rsid w:val="008A2950"/>
    <w:rsid w:val="008B6274"/>
    <w:rsid w:val="008C29E6"/>
    <w:rsid w:val="008C5302"/>
    <w:rsid w:val="008D5E63"/>
    <w:rsid w:val="008E0B0A"/>
    <w:rsid w:val="008F7995"/>
    <w:rsid w:val="00911866"/>
    <w:rsid w:val="00914D74"/>
    <w:rsid w:val="00915AFB"/>
    <w:rsid w:val="00934FA2"/>
    <w:rsid w:val="009479A4"/>
    <w:rsid w:val="00950D45"/>
    <w:rsid w:val="0095495C"/>
    <w:rsid w:val="0095662A"/>
    <w:rsid w:val="0097441E"/>
    <w:rsid w:val="00975C19"/>
    <w:rsid w:val="009A7B5F"/>
    <w:rsid w:val="009B125B"/>
    <w:rsid w:val="009B3337"/>
    <w:rsid w:val="009C46C1"/>
    <w:rsid w:val="009C5472"/>
    <w:rsid w:val="009C7440"/>
    <w:rsid w:val="009D0114"/>
    <w:rsid w:val="009D1C54"/>
    <w:rsid w:val="009D4C38"/>
    <w:rsid w:val="009E0EA0"/>
    <w:rsid w:val="009E7D00"/>
    <w:rsid w:val="009F769A"/>
    <w:rsid w:val="009F7E2B"/>
    <w:rsid w:val="00A05653"/>
    <w:rsid w:val="00A10745"/>
    <w:rsid w:val="00A110D2"/>
    <w:rsid w:val="00A130D7"/>
    <w:rsid w:val="00A22682"/>
    <w:rsid w:val="00A2277E"/>
    <w:rsid w:val="00A24013"/>
    <w:rsid w:val="00A2532C"/>
    <w:rsid w:val="00A26EEE"/>
    <w:rsid w:val="00A43D19"/>
    <w:rsid w:val="00A46020"/>
    <w:rsid w:val="00A525E0"/>
    <w:rsid w:val="00A56626"/>
    <w:rsid w:val="00A6321B"/>
    <w:rsid w:val="00A64897"/>
    <w:rsid w:val="00A722D5"/>
    <w:rsid w:val="00A77218"/>
    <w:rsid w:val="00A77B21"/>
    <w:rsid w:val="00A96ED5"/>
    <w:rsid w:val="00AB1978"/>
    <w:rsid w:val="00AC483F"/>
    <w:rsid w:val="00AC7D09"/>
    <w:rsid w:val="00AE2AAC"/>
    <w:rsid w:val="00AE43DC"/>
    <w:rsid w:val="00B02983"/>
    <w:rsid w:val="00B2275A"/>
    <w:rsid w:val="00B26D59"/>
    <w:rsid w:val="00B32189"/>
    <w:rsid w:val="00B63AD2"/>
    <w:rsid w:val="00B72D81"/>
    <w:rsid w:val="00B72DA4"/>
    <w:rsid w:val="00B775A2"/>
    <w:rsid w:val="00BB0C92"/>
    <w:rsid w:val="00BB3184"/>
    <w:rsid w:val="00BC3E14"/>
    <w:rsid w:val="00BD631C"/>
    <w:rsid w:val="00BE3A80"/>
    <w:rsid w:val="00BF506B"/>
    <w:rsid w:val="00C0472E"/>
    <w:rsid w:val="00C12588"/>
    <w:rsid w:val="00C3443A"/>
    <w:rsid w:val="00C3504C"/>
    <w:rsid w:val="00C361D5"/>
    <w:rsid w:val="00C44135"/>
    <w:rsid w:val="00C53FF1"/>
    <w:rsid w:val="00C60285"/>
    <w:rsid w:val="00C65B43"/>
    <w:rsid w:val="00C70F7B"/>
    <w:rsid w:val="00C7376E"/>
    <w:rsid w:val="00C75AC4"/>
    <w:rsid w:val="00C82BF1"/>
    <w:rsid w:val="00C83AFE"/>
    <w:rsid w:val="00C90C10"/>
    <w:rsid w:val="00C90E90"/>
    <w:rsid w:val="00C93282"/>
    <w:rsid w:val="00CB6ADE"/>
    <w:rsid w:val="00CB7320"/>
    <w:rsid w:val="00CB7EAC"/>
    <w:rsid w:val="00CC23AA"/>
    <w:rsid w:val="00CC3489"/>
    <w:rsid w:val="00CD0F12"/>
    <w:rsid w:val="00CE6B2D"/>
    <w:rsid w:val="00CF07FD"/>
    <w:rsid w:val="00CF2EE1"/>
    <w:rsid w:val="00CF4DDA"/>
    <w:rsid w:val="00D259F4"/>
    <w:rsid w:val="00D272B0"/>
    <w:rsid w:val="00D31CBF"/>
    <w:rsid w:val="00D33CAE"/>
    <w:rsid w:val="00D34FB3"/>
    <w:rsid w:val="00D41E85"/>
    <w:rsid w:val="00D4259F"/>
    <w:rsid w:val="00D43D9C"/>
    <w:rsid w:val="00D4692B"/>
    <w:rsid w:val="00D5154B"/>
    <w:rsid w:val="00D61363"/>
    <w:rsid w:val="00D631CC"/>
    <w:rsid w:val="00D65CAE"/>
    <w:rsid w:val="00D740A0"/>
    <w:rsid w:val="00D7615B"/>
    <w:rsid w:val="00D83196"/>
    <w:rsid w:val="00D844C0"/>
    <w:rsid w:val="00D868E7"/>
    <w:rsid w:val="00D95367"/>
    <w:rsid w:val="00D9608A"/>
    <w:rsid w:val="00DA256D"/>
    <w:rsid w:val="00DC7220"/>
    <w:rsid w:val="00DD4ABC"/>
    <w:rsid w:val="00DD62D1"/>
    <w:rsid w:val="00DD6665"/>
    <w:rsid w:val="00DF4E77"/>
    <w:rsid w:val="00E07412"/>
    <w:rsid w:val="00E136CA"/>
    <w:rsid w:val="00E1552E"/>
    <w:rsid w:val="00E15877"/>
    <w:rsid w:val="00E23809"/>
    <w:rsid w:val="00E300B5"/>
    <w:rsid w:val="00E329C3"/>
    <w:rsid w:val="00E42739"/>
    <w:rsid w:val="00E4442F"/>
    <w:rsid w:val="00E45587"/>
    <w:rsid w:val="00E45FC6"/>
    <w:rsid w:val="00E50138"/>
    <w:rsid w:val="00E52C72"/>
    <w:rsid w:val="00E535C7"/>
    <w:rsid w:val="00E5503F"/>
    <w:rsid w:val="00E573A2"/>
    <w:rsid w:val="00E60BC2"/>
    <w:rsid w:val="00E76E7D"/>
    <w:rsid w:val="00E85BFA"/>
    <w:rsid w:val="00E87582"/>
    <w:rsid w:val="00E90405"/>
    <w:rsid w:val="00E90D97"/>
    <w:rsid w:val="00E93666"/>
    <w:rsid w:val="00E965B1"/>
    <w:rsid w:val="00EA19D0"/>
    <w:rsid w:val="00EC4C04"/>
    <w:rsid w:val="00EC74FA"/>
    <w:rsid w:val="00ED2602"/>
    <w:rsid w:val="00EE5463"/>
    <w:rsid w:val="00EE577B"/>
    <w:rsid w:val="00EE740C"/>
    <w:rsid w:val="00F000B4"/>
    <w:rsid w:val="00F1500E"/>
    <w:rsid w:val="00F16D0A"/>
    <w:rsid w:val="00F2682E"/>
    <w:rsid w:val="00F27418"/>
    <w:rsid w:val="00F40ADB"/>
    <w:rsid w:val="00F52C7B"/>
    <w:rsid w:val="00F53A08"/>
    <w:rsid w:val="00F57EEA"/>
    <w:rsid w:val="00F60A2B"/>
    <w:rsid w:val="00F61D91"/>
    <w:rsid w:val="00F6394C"/>
    <w:rsid w:val="00F6640F"/>
    <w:rsid w:val="00F66418"/>
    <w:rsid w:val="00F83E5A"/>
    <w:rsid w:val="00F843F0"/>
    <w:rsid w:val="00F86500"/>
    <w:rsid w:val="00F905FD"/>
    <w:rsid w:val="00FA1C94"/>
    <w:rsid w:val="00FB43EB"/>
    <w:rsid w:val="00FC0BB2"/>
    <w:rsid w:val="00FC6AD0"/>
    <w:rsid w:val="00FC6F47"/>
    <w:rsid w:val="00FD170D"/>
    <w:rsid w:val="00FD2DF6"/>
    <w:rsid w:val="00FD7146"/>
    <w:rsid w:val="00FE5259"/>
    <w:rsid w:val="00FF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07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1428">
      <w:bodyDiv w:val="1"/>
      <w:marLeft w:val="0"/>
      <w:marRight w:val="0"/>
      <w:marTop w:val="0"/>
      <w:marBottom w:val="0"/>
      <w:divBdr>
        <w:top w:val="none" w:sz="0" w:space="0" w:color="auto"/>
        <w:left w:val="none" w:sz="0" w:space="0" w:color="auto"/>
        <w:bottom w:val="none" w:sz="0" w:space="0" w:color="auto"/>
        <w:right w:val="none" w:sz="0" w:space="0" w:color="auto"/>
      </w:divBdr>
      <w:divsChild>
        <w:div w:id="1633510956">
          <w:marLeft w:val="0"/>
          <w:marRight w:val="0"/>
          <w:marTop w:val="0"/>
          <w:marBottom w:val="0"/>
          <w:divBdr>
            <w:top w:val="none" w:sz="0" w:space="0" w:color="auto"/>
            <w:left w:val="none" w:sz="0" w:space="0" w:color="auto"/>
            <w:bottom w:val="none" w:sz="0" w:space="0" w:color="auto"/>
            <w:right w:val="none" w:sz="0" w:space="0" w:color="auto"/>
          </w:divBdr>
        </w:div>
        <w:div w:id="1546988181">
          <w:marLeft w:val="0"/>
          <w:marRight w:val="0"/>
          <w:marTop w:val="0"/>
          <w:marBottom w:val="0"/>
          <w:divBdr>
            <w:top w:val="none" w:sz="0" w:space="0" w:color="auto"/>
            <w:left w:val="none" w:sz="0" w:space="0" w:color="auto"/>
            <w:bottom w:val="none" w:sz="0" w:space="0" w:color="auto"/>
            <w:right w:val="none" w:sz="0" w:space="0" w:color="auto"/>
          </w:divBdr>
        </w:div>
        <w:div w:id="794449720">
          <w:marLeft w:val="0"/>
          <w:marRight w:val="0"/>
          <w:marTop w:val="0"/>
          <w:marBottom w:val="0"/>
          <w:divBdr>
            <w:top w:val="none" w:sz="0" w:space="0" w:color="auto"/>
            <w:left w:val="none" w:sz="0" w:space="0" w:color="auto"/>
            <w:bottom w:val="none" w:sz="0" w:space="0" w:color="auto"/>
            <w:right w:val="none" w:sz="0" w:space="0" w:color="auto"/>
          </w:divBdr>
        </w:div>
        <w:div w:id="283737915">
          <w:marLeft w:val="0"/>
          <w:marRight w:val="0"/>
          <w:marTop w:val="0"/>
          <w:marBottom w:val="0"/>
          <w:divBdr>
            <w:top w:val="none" w:sz="0" w:space="0" w:color="auto"/>
            <w:left w:val="none" w:sz="0" w:space="0" w:color="auto"/>
            <w:bottom w:val="none" w:sz="0" w:space="0" w:color="auto"/>
            <w:right w:val="none" w:sz="0" w:space="0" w:color="auto"/>
          </w:divBdr>
        </w:div>
        <w:div w:id="737433569">
          <w:marLeft w:val="0"/>
          <w:marRight w:val="0"/>
          <w:marTop w:val="0"/>
          <w:marBottom w:val="0"/>
          <w:divBdr>
            <w:top w:val="none" w:sz="0" w:space="0" w:color="auto"/>
            <w:left w:val="none" w:sz="0" w:space="0" w:color="auto"/>
            <w:bottom w:val="none" w:sz="0" w:space="0" w:color="auto"/>
            <w:right w:val="none" w:sz="0" w:space="0" w:color="auto"/>
          </w:divBdr>
        </w:div>
        <w:div w:id="1822236546">
          <w:marLeft w:val="0"/>
          <w:marRight w:val="0"/>
          <w:marTop w:val="0"/>
          <w:marBottom w:val="0"/>
          <w:divBdr>
            <w:top w:val="none" w:sz="0" w:space="0" w:color="auto"/>
            <w:left w:val="none" w:sz="0" w:space="0" w:color="auto"/>
            <w:bottom w:val="none" w:sz="0" w:space="0" w:color="auto"/>
            <w:right w:val="none" w:sz="0" w:space="0" w:color="auto"/>
          </w:divBdr>
        </w:div>
        <w:div w:id="1381393246">
          <w:marLeft w:val="0"/>
          <w:marRight w:val="0"/>
          <w:marTop w:val="0"/>
          <w:marBottom w:val="0"/>
          <w:divBdr>
            <w:top w:val="none" w:sz="0" w:space="0" w:color="auto"/>
            <w:left w:val="none" w:sz="0" w:space="0" w:color="auto"/>
            <w:bottom w:val="none" w:sz="0" w:space="0" w:color="auto"/>
            <w:right w:val="none" w:sz="0" w:space="0" w:color="auto"/>
          </w:divBdr>
        </w:div>
        <w:div w:id="1149595845">
          <w:marLeft w:val="0"/>
          <w:marRight w:val="0"/>
          <w:marTop w:val="0"/>
          <w:marBottom w:val="0"/>
          <w:divBdr>
            <w:top w:val="none" w:sz="0" w:space="0" w:color="auto"/>
            <w:left w:val="none" w:sz="0" w:space="0" w:color="auto"/>
            <w:bottom w:val="none" w:sz="0" w:space="0" w:color="auto"/>
            <w:right w:val="none" w:sz="0" w:space="0" w:color="auto"/>
          </w:divBdr>
        </w:div>
        <w:div w:id="1889297005">
          <w:marLeft w:val="0"/>
          <w:marRight w:val="0"/>
          <w:marTop w:val="0"/>
          <w:marBottom w:val="0"/>
          <w:divBdr>
            <w:top w:val="none" w:sz="0" w:space="0" w:color="auto"/>
            <w:left w:val="none" w:sz="0" w:space="0" w:color="auto"/>
            <w:bottom w:val="none" w:sz="0" w:space="0" w:color="auto"/>
            <w:right w:val="none" w:sz="0" w:space="0" w:color="auto"/>
          </w:divBdr>
        </w:div>
        <w:div w:id="178862011">
          <w:marLeft w:val="0"/>
          <w:marRight w:val="0"/>
          <w:marTop w:val="0"/>
          <w:marBottom w:val="0"/>
          <w:divBdr>
            <w:top w:val="none" w:sz="0" w:space="0" w:color="auto"/>
            <w:left w:val="none" w:sz="0" w:space="0" w:color="auto"/>
            <w:bottom w:val="none" w:sz="0" w:space="0" w:color="auto"/>
            <w:right w:val="none" w:sz="0" w:space="0" w:color="auto"/>
          </w:divBdr>
        </w:div>
        <w:div w:id="738094618">
          <w:marLeft w:val="0"/>
          <w:marRight w:val="0"/>
          <w:marTop w:val="0"/>
          <w:marBottom w:val="0"/>
          <w:divBdr>
            <w:top w:val="none" w:sz="0" w:space="0" w:color="auto"/>
            <w:left w:val="none" w:sz="0" w:space="0" w:color="auto"/>
            <w:bottom w:val="none" w:sz="0" w:space="0" w:color="auto"/>
            <w:right w:val="none" w:sz="0" w:space="0" w:color="auto"/>
          </w:divBdr>
        </w:div>
        <w:div w:id="81492860">
          <w:marLeft w:val="0"/>
          <w:marRight w:val="0"/>
          <w:marTop w:val="0"/>
          <w:marBottom w:val="0"/>
          <w:divBdr>
            <w:top w:val="none" w:sz="0" w:space="0" w:color="auto"/>
            <w:left w:val="none" w:sz="0" w:space="0" w:color="auto"/>
            <w:bottom w:val="none" w:sz="0" w:space="0" w:color="auto"/>
            <w:right w:val="none" w:sz="0" w:space="0" w:color="auto"/>
          </w:divBdr>
        </w:div>
        <w:div w:id="24067992">
          <w:marLeft w:val="0"/>
          <w:marRight w:val="0"/>
          <w:marTop w:val="0"/>
          <w:marBottom w:val="0"/>
          <w:divBdr>
            <w:top w:val="none" w:sz="0" w:space="0" w:color="auto"/>
            <w:left w:val="none" w:sz="0" w:space="0" w:color="auto"/>
            <w:bottom w:val="none" w:sz="0" w:space="0" w:color="auto"/>
            <w:right w:val="none" w:sz="0" w:space="0" w:color="auto"/>
          </w:divBdr>
        </w:div>
        <w:div w:id="1042752850">
          <w:marLeft w:val="0"/>
          <w:marRight w:val="0"/>
          <w:marTop w:val="0"/>
          <w:marBottom w:val="0"/>
          <w:divBdr>
            <w:top w:val="none" w:sz="0" w:space="0" w:color="auto"/>
            <w:left w:val="none" w:sz="0" w:space="0" w:color="auto"/>
            <w:bottom w:val="none" w:sz="0" w:space="0" w:color="auto"/>
            <w:right w:val="none" w:sz="0" w:space="0" w:color="auto"/>
          </w:divBdr>
        </w:div>
        <w:div w:id="1158228977">
          <w:marLeft w:val="0"/>
          <w:marRight w:val="0"/>
          <w:marTop w:val="0"/>
          <w:marBottom w:val="0"/>
          <w:divBdr>
            <w:top w:val="none" w:sz="0" w:space="0" w:color="auto"/>
            <w:left w:val="none" w:sz="0" w:space="0" w:color="auto"/>
            <w:bottom w:val="none" w:sz="0" w:space="0" w:color="auto"/>
            <w:right w:val="none" w:sz="0" w:space="0" w:color="auto"/>
          </w:divBdr>
        </w:div>
        <w:div w:id="1056004287">
          <w:marLeft w:val="0"/>
          <w:marRight w:val="0"/>
          <w:marTop w:val="0"/>
          <w:marBottom w:val="0"/>
          <w:divBdr>
            <w:top w:val="none" w:sz="0" w:space="0" w:color="auto"/>
            <w:left w:val="none" w:sz="0" w:space="0" w:color="auto"/>
            <w:bottom w:val="none" w:sz="0" w:space="0" w:color="auto"/>
            <w:right w:val="none" w:sz="0" w:space="0" w:color="auto"/>
          </w:divBdr>
        </w:div>
        <w:div w:id="1261256761">
          <w:marLeft w:val="0"/>
          <w:marRight w:val="0"/>
          <w:marTop w:val="0"/>
          <w:marBottom w:val="0"/>
          <w:divBdr>
            <w:top w:val="none" w:sz="0" w:space="0" w:color="auto"/>
            <w:left w:val="none" w:sz="0" w:space="0" w:color="auto"/>
            <w:bottom w:val="none" w:sz="0" w:space="0" w:color="auto"/>
            <w:right w:val="none" w:sz="0" w:space="0" w:color="auto"/>
          </w:divBdr>
        </w:div>
        <w:div w:id="1605966308">
          <w:marLeft w:val="0"/>
          <w:marRight w:val="0"/>
          <w:marTop w:val="0"/>
          <w:marBottom w:val="0"/>
          <w:divBdr>
            <w:top w:val="none" w:sz="0" w:space="0" w:color="auto"/>
            <w:left w:val="none" w:sz="0" w:space="0" w:color="auto"/>
            <w:bottom w:val="none" w:sz="0" w:space="0" w:color="auto"/>
            <w:right w:val="none" w:sz="0" w:space="0" w:color="auto"/>
          </w:divBdr>
        </w:div>
        <w:div w:id="1381632944">
          <w:marLeft w:val="0"/>
          <w:marRight w:val="0"/>
          <w:marTop w:val="0"/>
          <w:marBottom w:val="0"/>
          <w:divBdr>
            <w:top w:val="none" w:sz="0" w:space="0" w:color="auto"/>
            <w:left w:val="none" w:sz="0" w:space="0" w:color="auto"/>
            <w:bottom w:val="none" w:sz="0" w:space="0" w:color="auto"/>
            <w:right w:val="none" w:sz="0" w:space="0" w:color="auto"/>
          </w:divBdr>
        </w:div>
        <w:div w:id="1933052595">
          <w:marLeft w:val="0"/>
          <w:marRight w:val="0"/>
          <w:marTop w:val="0"/>
          <w:marBottom w:val="0"/>
          <w:divBdr>
            <w:top w:val="none" w:sz="0" w:space="0" w:color="auto"/>
            <w:left w:val="none" w:sz="0" w:space="0" w:color="auto"/>
            <w:bottom w:val="none" w:sz="0" w:space="0" w:color="auto"/>
            <w:right w:val="none" w:sz="0" w:space="0" w:color="auto"/>
          </w:divBdr>
        </w:div>
        <w:div w:id="70012457">
          <w:marLeft w:val="0"/>
          <w:marRight w:val="0"/>
          <w:marTop w:val="0"/>
          <w:marBottom w:val="0"/>
          <w:divBdr>
            <w:top w:val="none" w:sz="0" w:space="0" w:color="auto"/>
            <w:left w:val="none" w:sz="0" w:space="0" w:color="auto"/>
            <w:bottom w:val="none" w:sz="0" w:space="0" w:color="auto"/>
            <w:right w:val="none" w:sz="0" w:space="0" w:color="auto"/>
          </w:divBdr>
        </w:div>
        <w:div w:id="488060649">
          <w:marLeft w:val="0"/>
          <w:marRight w:val="0"/>
          <w:marTop w:val="0"/>
          <w:marBottom w:val="0"/>
          <w:divBdr>
            <w:top w:val="none" w:sz="0" w:space="0" w:color="auto"/>
            <w:left w:val="none" w:sz="0" w:space="0" w:color="auto"/>
            <w:bottom w:val="none" w:sz="0" w:space="0" w:color="auto"/>
            <w:right w:val="none" w:sz="0" w:space="0" w:color="auto"/>
          </w:divBdr>
        </w:div>
      </w:divsChild>
    </w:div>
    <w:div w:id="728651268">
      <w:bodyDiv w:val="1"/>
      <w:marLeft w:val="0"/>
      <w:marRight w:val="0"/>
      <w:marTop w:val="0"/>
      <w:marBottom w:val="0"/>
      <w:divBdr>
        <w:top w:val="none" w:sz="0" w:space="0" w:color="auto"/>
        <w:left w:val="none" w:sz="0" w:space="0" w:color="auto"/>
        <w:bottom w:val="none" w:sz="0" w:space="0" w:color="auto"/>
        <w:right w:val="none" w:sz="0" w:space="0" w:color="auto"/>
      </w:divBdr>
    </w:div>
    <w:div w:id="905455953">
      <w:bodyDiv w:val="1"/>
      <w:marLeft w:val="0"/>
      <w:marRight w:val="0"/>
      <w:marTop w:val="0"/>
      <w:marBottom w:val="0"/>
      <w:divBdr>
        <w:top w:val="none" w:sz="0" w:space="0" w:color="auto"/>
        <w:left w:val="none" w:sz="0" w:space="0" w:color="auto"/>
        <w:bottom w:val="none" w:sz="0" w:space="0" w:color="auto"/>
        <w:right w:val="none" w:sz="0" w:space="0" w:color="auto"/>
      </w:divBdr>
    </w:div>
    <w:div w:id="1231311904">
      <w:bodyDiv w:val="1"/>
      <w:marLeft w:val="0"/>
      <w:marRight w:val="0"/>
      <w:marTop w:val="0"/>
      <w:marBottom w:val="0"/>
      <w:divBdr>
        <w:top w:val="none" w:sz="0" w:space="0" w:color="auto"/>
        <w:left w:val="none" w:sz="0" w:space="0" w:color="auto"/>
        <w:bottom w:val="none" w:sz="0" w:space="0" w:color="auto"/>
        <w:right w:val="none" w:sz="0" w:space="0" w:color="auto"/>
      </w:divBdr>
    </w:div>
    <w:div w:id="1419669426">
      <w:bodyDiv w:val="1"/>
      <w:marLeft w:val="0"/>
      <w:marRight w:val="0"/>
      <w:marTop w:val="0"/>
      <w:marBottom w:val="0"/>
      <w:divBdr>
        <w:top w:val="none" w:sz="0" w:space="0" w:color="auto"/>
        <w:left w:val="none" w:sz="0" w:space="0" w:color="auto"/>
        <w:bottom w:val="none" w:sz="0" w:space="0" w:color="auto"/>
        <w:right w:val="none" w:sz="0" w:space="0" w:color="auto"/>
      </w:divBdr>
    </w:div>
    <w:div w:id="1477140819">
      <w:bodyDiv w:val="1"/>
      <w:marLeft w:val="0"/>
      <w:marRight w:val="0"/>
      <w:marTop w:val="0"/>
      <w:marBottom w:val="0"/>
      <w:divBdr>
        <w:top w:val="none" w:sz="0" w:space="0" w:color="auto"/>
        <w:left w:val="none" w:sz="0" w:space="0" w:color="auto"/>
        <w:bottom w:val="none" w:sz="0" w:space="0" w:color="auto"/>
        <w:right w:val="none" w:sz="0" w:space="0" w:color="auto"/>
      </w:divBdr>
    </w:div>
    <w:div w:id="1506551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chn@fas.harvard.edu" TargetMode="External"/><Relationship Id="rId13" Type="http://schemas.openxmlformats.org/officeDocument/2006/relationships/hyperlink" Target="http://www.thecrimson.com/article/2016/3/15/corporation-hls-seal-change/" TargetMode="External"/><Relationship Id="rId3" Type="http://schemas.openxmlformats.org/officeDocument/2006/relationships/styles" Target="styles.xml"/><Relationship Id="rId7" Type="http://schemas.openxmlformats.org/officeDocument/2006/relationships/hyperlink" Target="mailto:ulrich@fas.harvard.edu" TargetMode="External"/><Relationship Id="rId12" Type="http://schemas.openxmlformats.org/officeDocument/2006/relationships/hyperlink" Target="file:///C:\Users\schechn\AppData\Local\Temp\wrobles@g.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ireenhamza@g.harvrd.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payne@g.harvard.edu" TargetMode="External"/><Relationship Id="rId4" Type="http://schemas.microsoft.com/office/2007/relationships/stylesWithEffects" Target="stylesWithEffects.xml"/><Relationship Id="rId9" Type="http://schemas.openxmlformats.org/officeDocument/2006/relationships/hyperlink" Target="mailto:pellizzari@g.harvar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FF07-AF9B-4A22-9DFF-0BCC774C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10103</Characters>
  <Application>Microsoft Office Word</Application>
  <DocSecurity>0</DocSecurity>
  <Lines>198</Lines>
  <Paragraphs>91</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ulrich</dc:creator>
  <cp:lastModifiedBy>Sara Schechner</cp:lastModifiedBy>
  <cp:revision>2</cp:revision>
  <cp:lastPrinted>2017-10-04T14:54:00Z</cp:lastPrinted>
  <dcterms:created xsi:type="dcterms:W3CDTF">2017-10-04T16:14:00Z</dcterms:created>
  <dcterms:modified xsi:type="dcterms:W3CDTF">2017-10-04T16:14:00Z</dcterms:modified>
</cp:coreProperties>
</file>